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text" w:horzAnchor="page" w:tblpX="297" w:tblpY="-287"/>
        <w:tblW w:w="15295" w:type="dxa"/>
        <w:tblLayout w:type="fixed"/>
        <w:tblLook w:val="04A0" w:firstRow="1" w:lastRow="0" w:firstColumn="1" w:lastColumn="0" w:noHBand="0" w:noVBand="1"/>
      </w:tblPr>
      <w:tblGrid>
        <w:gridCol w:w="2077"/>
        <w:gridCol w:w="1338"/>
        <w:gridCol w:w="4645"/>
        <w:gridCol w:w="2025"/>
        <w:gridCol w:w="3410"/>
        <w:gridCol w:w="1800"/>
      </w:tblGrid>
      <w:tr w:rsidR="0094571C" w:rsidRPr="0094571C" w14:paraId="09BF4F70" w14:textId="0F582EB5" w:rsidTr="007670E4">
        <w:tc>
          <w:tcPr>
            <w:tcW w:w="2077" w:type="dxa"/>
            <w:shd w:val="clear" w:color="auto" w:fill="BFBFBF" w:themeFill="background1" w:themeFillShade="BF"/>
          </w:tcPr>
          <w:p w14:paraId="033E2689" w14:textId="70611B49" w:rsidR="0094571C" w:rsidRPr="0094571C" w:rsidRDefault="0094571C" w:rsidP="00AB0F72">
            <w:pPr>
              <w:rPr>
                <w:rFonts w:ascii="Times New Roman" w:hAnsi="Times New Roman" w:cs="Times New Roman"/>
                <w:b/>
                <w:bCs/>
              </w:rPr>
            </w:pPr>
            <w:r w:rsidRPr="0094571C">
              <w:rPr>
                <w:rFonts w:ascii="Times New Roman" w:hAnsi="Times New Roman" w:cs="Times New Roman"/>
                <w:b/>
                <w:bCs/>
              </w:rPr>
              <w:t>Case</w:t>
            </w:r>
          </w:p>
        </w:tc>
        <w:tc>
          <w:tcPr>
            <w:tcW w:w="1338" w:type="dxa"/>
            <w:shd w:val="clear" w:color="auto" w:fill="BFBFBF" w:themeFill="background1" w:themeFillShade="BF"/>
          </w:tcPr>
          <w:p w14:paraId="0258FA1D" w14:textId="659E516E" w:rsidR="0094571C" w:rsidRPr="0094571C" w:rsidRDefault="0094571C" w:rsidP="00AB0F72">
            <w:pPr>
              <w:rPr>
                <w:rFonts w:ascii="Times New Roman" w:hAnsi="Times New Roman" w:cs="Times New Roman"/>
                <w:b/>
                <w:bCs/>
              </w:rPr>
            </w:pPr>
            <w:r w:rsidRPr="0094571C">
              <w:rPr>
                <w:rFonts w:ascii="Times New Roman" w:hAnsi="Times New Roman" w:cs="Times New Roman"/>
                <w:b/>
                <w:bCs/>
              </w:rPr>
              <w:t>Date / Entity Type</w:t>
            </w:r>
          </w:p>
        </w:tc>
        <w:tc>
          <w:tcPr>
            <w:tcW w:w="4645" w:type="dxa"/>
            <w:shd w:val="clear" w:color="auto" w:fill="BFBFBF" w:themeFill="background1" w:themeFillShade="BF"/>
          </w:tcPr>
          <w:p w14:paraId="2A7FE1B0" w14:textId="74B347C1" w:rsidR="0094571C" w:rsidRPr="0094571C" w:rsidRDefault="0094571C" w:rsidP="00AB0F72">
            <w:pPr>
              <w:rPr>
                <w:rFonts w:ascii="Times New Roman" w:hAnsi="Times New Roman" w:cs="Times New Roman"/>
                <w:b/>
                <w:bCs/>
              </w:rPr>
            </w:pPr>
            <w:r w:rsidRPr="0094571C">
              <w:rPr>
                <w:rFonts w:ascii="Times New Roman" w:hAnsi="Times New Roman" w:cs="Times New Roman"/>
                <w:b/>
                <w:bCs/>
                <w:noProof/>
              </w:rPr>
              <mc:AlternateContent>
                <mc:Choice Requires="wps">
                  <w:drawing>
                    <wp:anchor distT="0" distB="0" distL="114300" distR="114300" simplePos="0" relativeHeight="251660288" behindDoc="0" locked="0" layoutInCell="1" allowOverlap="1" wp14:anchorId="3B5FC070" wp14:editId="5F9923BE">
                      <wp:simplePos x="0" y="0"/>
                      <wp:positionH relativeFrom="column">
                        <wp:posOffset>511175</wp:posOffset>
                      </wp:positionH>
                      <wp:positionV relativeFrom="paragraph">
                        <wp:posOffset>-358775</wp:posOffset>
                      </wp:positionV>
                      <wp:extent cx="4340352" cy="341376"/>
                      <wp:effectExtent l="0" t="0" r="3175" b="1905"/>
                      <wp:wrapNone/>
                      <wp:docPr id="224752428" name="Text Box 1"/>
                      <wp:cNvGraphicFramePr/>
                      <a:graphic xmlns:a="http://schemas.openxmlformats.org/drawingml/2006/main">
                        <a:graphicData uri="http://schemas.microsoft.com/office/word/2010/wordprocessingShape">
                          <wps:wsp>
                            <wps:cNvSpPr txBox="1"/>
                            <wps:spPr>
                              <a:xfrm>
                                <a:off x="0" y="0"/>
                                <a:ext cx="4340352" cy="341376"/>
                              </a:xfrm>
                              <a:prstGeom prst="rect">
                                <a:avLst/>
                              </a:prstGeom>
                              <a:solidFill>
                                <a:schemeClr val="lt1"/>
                              </a:solidFill>
                              <a:ln w="6350">
                                <a:noFill/>
                              </a:ln>
                            </wps:spPr>
                            <wps:txbx>
                              <w:txbxContent>
                                <w:p w14:paraId="45BDC8AE" w14:textId="1CD4B84B" w:rsidR="0094571C" w:rsidRPr="00AB0F72" w:rsidRDefault="0094571C">
                                  <w:pPr>
                                    <w:rPr>
                                      <w:rFonts w:ascii="Times New Roman" w:hAnsi="Times New Roman" w:cs="Times New Roman"/>
                                      <w:sz w:val="28"/>
                                      <w:szCs w:val="28"/>
                                    </w:rPr>
                                  </w:pPr>
                                  <w:r w:rsidRPr="00AB0F72">
                                    <w:rPr>
                                      <w:rFonts w:ascii="Times New Roman" w:hAnsi="Times New Roman" w:cs="Times New Roman"/>
                                      <w:color w:val="1D1D1D"/>
                                      <w:sz w:val="28"/>
                                      <w:szCs w:val="28"/>
                                      <w:shd w:val="clear" w:color="auto" w:fill="FFFFFF"/>
                                    </w:rPr>
                                    <w:t>Determining Standing in Florida Entity Litigation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5FC070" id="_x0000_t202" coordsize="21600,21600" o:spt="202" path="m,l,21600r21600,l21600,xe">
                      <v:stroke joinstyle="miter"/>
                      <v:path gradientshapeok="t" o:connecttype="rect"/>
                    </v:shapetype>
                    <v:shape id="Text Box 1" o:spid="_x0000_s1026" type="#_x0000_t202" style="position:absolute;margin-left:40.25pt;margin-top:-28.25pt;width:341.75pt;height:26.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" fillcolor="white [3201]" stroked="f" strokeweight=".5pt">
                      <v:textbox>
                        <w:txbxContent>
                          <w:p w14:paraId="45BDC8AE" w14:textId="1CD4B84B" w:rsidR="0094571C" w:rsidRPr="00AB0F72" w:rsidRDefault="0094571C">
                            <w:pPr>
                              <w:rPr>
                                <w:rFonts w:ascii="Times New Roman" w:hAnsi="Times New Roman" w:cs="Times New Roman"/>
                                <w:sz w:val="28"/>
                                <w:szCs w:val="28"/>
                              </w:rPr>
                            </w:pPr>
                            <w:r w:rsidRPr="00AB0F72">
                              <w:rPr>
                                <w:rFonts w:ascii="Times New Roman" w:hAnsi="Times New Roman" w:cs="Times New Roman"/>
                                <w:color w:val="1D1D1D"/>
                                <w:sz w:val="28"/>
                                <w:szCs w:val="28"/>
                                <w:shd w:val="clear" w:color="auto" w:fill="FFFFFF"/>
                              </w:rPr>
                              <w:t>Determining Standing in Florida Entity Litigation</w:t>
                            </w:r>
                          </w:p>
                        </w:txbxContent>
                      </v:textbox>
                    </v:shape>
                  </w:pict>
                </mc:Fallback>
              </mc:AlternateContent>
            </w:r>
            <w:r w:rsidRPr="0094571C">
              <w:rPr>
                <w:rFonts w:ascii="Times New Roman" w:hAnsi="Times New Roman" w:cs="Times New Roman"/>
                <w:b/>
                <w:bCs/>
              </w:rPr>
              <w:t>Expanded Facts</w:t>
            </w:r>
          </w:p>
        </w:tc>
        <w:tc>
          <w:tcPr>
            <w:tcW w:w="2025" w:type="dxa"/>
            <w:shd w:val="clear" w:color="auto" w:fill="BFBFBF" w:themeFill="background1" w:themeFillShade="BF"/>
          </w:tcPr>
          <w:p w14:paraId="0701DB6D" w14:textId="68831C0C" w:rsidR="0094571C" w:rsidRPr="0094571C" w:rsidRDefault="0094571C" w:rsidP="00AB0F72">
            <w:pPr>
              <w:rPr>
                <w:rFonts w:ascii="Times New Roman" w:hAnsi="Times New Roman" w:cs="Times New Roman"/>
                <w:b/>
                <w:bCs/>
              </w:rPr>
            </w:pPr>
            <w:r w:rsidRPr="0094571C">
              <w:rPr>
                <w:rFonts w:ascii="Times New Roman" w:hAnsi="Times New Roman" w:cs="Times New Roman"/>
                <w:b/>
                <w:bCs/>
              </w:rPr>
              <w:t>Test to Determine Standing</w:t>
            </w:r>
          </w:p>
        </w:tc>
        <w:tc>
          <w:tcPr>
            <w:tcW w:w="3410" w:type="dxa"/>
            <w:shd w:val="clear" w:color="auto" w:fill="BFBFBF" w:themeFill="background1" w:themeFillShade="BF"/>
          </w:tcPr>
          <w:p w14:paraId="6D4BA329" w14:textId="07B2E2CB" w:rsidR="0094571C" w:rsidRPr="0094571C" w:rsidRDefault="0094571C" w:rsidP="00AB0F72">
            <w:pPr>
              <w:rPr>
                <w:rFonts w:ascii="Times New Roman" w:hAnsi="Times New Roman" w:cs="Times New Roman"/>
                <w:b/>
                <w:bCs/>
              </w:rPr>
            </w:pPr>
            <w:r w:rsidRPr="0094571C">
              <w:rPr>
                <w:rFonts w:ascii="Times New Roman" w:hAnsi="Times New Roman" w:cs="Times New Roman"/>
                <w:b/>
                <w:bCs/>
              </w:rPr>
              <w:t>Court’s Decision (Special Injury / Statute / Direct Standing)</w:t>
            </w:r>
          </w:p>
        </w:tc>
        <w:tc>
          <w:tcPr>
            <w:tcW w:w="1800" w:type="dxa"/>
            <w:shd w:val="clear" w:color="auto" w:fill="BFBFBF" w:themeFill="background1" w:themeFillShade="BF"/>
          </w:tcPr>
          <w:p w14:paraId="45047CB7" w14:textId="69AEC118" w:rsidR="0094571C" w:rsidRPr="0094571C" w:rsidRDefault="0094571C" w:rsidP="00AB0F72">
            <w:pPr>
              <w:rPr>
                <w:rFonts w:ascii="Times New Roman" w:hAnsi="Times New Roman" w:cs="Times New Roman"/>
                <w:b/>
                <w:bCs/>
              </w:rPr>
            </w:pPr>
            <w:r w:rsidRPr="0094571C">
              <w:rPr>
                <w:rFonts w:ascii="Times New Roman" w:hAnsi="Times New Roman" w:cs="Times New Roman"/>
                <w:b/>
                <w:bCs/>
              </w:rPr>
              <w:t xml:space="preserve">“Direct action” statute cited </w:t>
            </w:r>
          </w:p>
        </w:tc>
      </w:tr>
      <w:tr w:rsidR="0094571C" w:rsidRPr="0094571C" w14:paraId="1EA17C96" w14:textId="583163B4" w:rsidTr="007670E4">
        <w:tc>
          <w:tcPr>
            <w:tcW w:w="2077" w:type="dxa"/>
          </w:tcPr>
          <w:p w14:paraId="0B57329D" w14:textId="77777777" w:rsidR="0094571C" w:rsidRPr="0094571C" w:rsidRDefault="0094571C" w:rsidP="00AB0F72">
            <w:pPr>
              <w:rPr>
                <w:rFonts w:ascii="Times New Roman" w:hAnsi="Times New Roman" w:cs="Times New Roman"/>
              </w:rPr>
            </w:pPr>
            <w:r w:rsidRPr="0094571C">
              <w:rPr>
                <w:rFonts w:ascii="Times New Roman" w:hAnsi="Times New Roman" w:cs="Times New Roman"/>
                <w:i/>
                <w:iCs/>
              </w:rPr>
              <w:t>Dinuro Investments, LLC v. Camacho</w:t>
            </w:r>
            <w:r w:rsidRPr="0094571C">
              <w:rPr>
                <w:rFonts w:ascii="Times New Roman" w:hAnsi="Times New Roman" w:cs="Times New Roman"/>
              </w:rPr>
              <w:t>, 141 So. 3d 731 (Fla. 3d DCA 2014)</w:t>
            </w:r>
          </w:p>
        </w:tc>
        <w:tc>
          <w:tcPr>
            <w:tcW w:w="1338" w:type="dxa"/>
          </w:tcPr>
          <w:p w14:paraId="2B3D69FB" w14:textId="77777777" w:rsidR="0094571C" w:rsidRPr="0094571C" w:rsidRDefault="0094571C" w:rsidP="00AB0F72">
            <w:pPr>
              <w:rPr>
                <w:rFonts w:ascii="Times New Roman" w:hAnsi="Times New Roman" w:cs="Times New Roman"/>
              </w:rPr>
            </w:pPr>
            <w:r w:rsidRPr="0094571C">
              <w:rPr>
                <w:rFonts w:ascii="Times New Roman" w:hAnsi="Times New Roman" w:cs="Times New Roman"/>
              </w:rPr>
              <w:t>2014 / LLC</w:t>
            </w:r>
          </w:p>
        </w:tc>
        <w:tc>
          <w:tcPr>
            <w:tcW w:w="4645" w:type="dxa"/>
          </w:tcPr>
          <w:p w14:paraId="6E179DD2" w14:textId="77777777" w:rsidR="0094571C" w:rsidRPr="0094571C" w:rsidRDefault="0094571C" w:rsidP="00AB0F72">
            <w:pPr>
              <w:rPr>
                <w:rFonts w:ascii="Times New Roman" w:hAnsi="Times New Roman" w:cs="Times New Roman"/>
              </w:rPr>
            </w:pPr>
            <w:r w:rsidRPr="0094571C">
              <w:rPr>
                <w:rFonts w:ascii="Times New Roman" w:hAnsi="Times New Roman" w:cs="Times New Roman"/>
              </w:rPr>
              <w:t>Dinuro and two other LLC members jointly owned San Remo Homes, LLC. When the LLC defaulted on its loan, the other members purchased the loan, foreclosed on the property, and ended up owning the assets outright. Dinuro alleged that this left it holding only membership interests in an empty LLC. It sued co-members directly.</w:t>
            </w:r>
          </w:p>
        </w:tc>
        <w:tc>
          <w:tcPr>
            <w:tcW w:w="2025" w:type="dxa"/>
          </w:tcPr>
          <w:p w14:paraId="1B0E60C0" w14:textId="77777777" w:rsidR="0094571C" w:rsidRPr="0094571C" w:rsidRDefault="0094571C" w:rsidP="00AB0F72">
            <w:pPr>
              <w:rPr>
                <w:rFonts w:ascii="Times New Roman" w:hAnsi="Times New Roman" w:cs="Times New Roman"/>
              </w:rPr>
            </w:pPr>
            <w:r w:rsidRPr="0094571C">
              <w:rPr>
                <w:rFonts w:ascii="Times New Roman" w:hAnsi="Times New Roman" w:cs="Times New Roman"/>
              </w:rPr>
              <w:t>Court synthesized precedent into two-prong test: (1) direct harm; and (2) special injury, plus narrow contractual/statutory exception.</w:t>
            </w:r>
          </w:p>
        </w:tc>
        <w:tc>
          <w:tcPr>
            <w:tcW w:w="3410" w:type="dxa"/>
          </w:tcPr>
          <w:p w14:paraId="11A268F7" w14:textId="77777777" w:rsidR="0094571C" w:rsidRPr="0094571C" w:rsidRDefault="0094571C" w:rsidP="00AB0F72">
            <w:pPr>
              <w:rPr>
                <w:rFonts w:ascii="Times New Roman" w:hAnsi="Times New Roman" w:cs="Times New Roman"/>
              </w:rPr>
            </w:pPr>
            <w:r w:rsidRPr="0094571C">
              <w:rPr>
                <w:rFonts w:ascii="Times New Roman" w:hAnsi="Times New Roman" w:cs="Times New Roman"/>
              </w:rPr>
              <w:t>Court held Dinuro showed only special injury (loss distinct from co-members) but not direct harm, since harm flowed from entity’s asset loss. Direct standing denied; derivative required.</w:t>
            </w:r>
          </w:p>
        </w:tc>
        <w:tc>
          <w:tcPr>
            <w:tcW w:w="1800" w:type="dxa"/>
          </w:tcPr>
          <w:p w14:paraId="79CAC774" w14:textId="157F9386" w:rsidR="0094571C" w:rsidRPr="0094571C" w:rsidRDefault="0094571C" w:rsidP="00AB0F72">
            <w:pPr>
              <w:rPr>
                <w:rFonts w:ascii="Times New Roman" w:hAnsi="Times New Roman" w:cs="Times New Roman"/>
              </w:rPr>
            </w:pPr>
            <w:r w:rsidRPr="0094571C">
              <w:rPr>
                <w:rFonts w:ascii="Times New Roman" w:hAnsi="Times New Roman" w:cs="Times New Roman"/>
              </w:rPr>
              <w:t>No</w:t>
            </w:r>
            <w:r w:rsidR="007670E4">
              <w:rPr>
                <w:rFonts w:ascii="Times New Roman" w:hAnsi="Times New Roman" w:cs="Times New Roman"/>
              </w:rPr>
              <w:t>.</w:t>
            </w:r>
          </w:p>
        </w:tc>
      </w:tr>
      <w:tr w:rsidR="0094571C" w:rsidRPr="0094571C" w14:paraId="4DEF88C7" w14:textId="7352AFE3" w:rsidTr="007670E4">
        <w:tc>
          <w:tcPr>
            <w:tcW w:w="2077" w:type="dxa"/>
          </w:tcPr>
          <w:p w14:paraId="34354A74" w14:textId="77777777" w:rsidR="0094571C" w:rsidRPr="0094571C" w:rsidRDefault="0094571C" w:rsidP="00AB0F72">
            <w:pPr>
              <w:rPr>
                <w:rFonts w:ascii="Times New Roman" w:hAnsi="Times New Roman" w:cs="Times New Roman"/>
              </w:rPr>
            </w:pPr>
            <w:r w:rsidRPr="0094571C">
              <w:rPr>
                <w:rFonts w:ascii="Times New Roman" w:hAnsi="Times New Roman" w:cs="Times New Roman"/>
                <w:i/>
                <w:iCs/>
              </w:rPr>
              <w:t>Strazzulla v. Riverside Banking Co.</w:t>
            </w:r>
            <w:r w:rsidRPr="0094571C">
              <w:rPr>
                <w:rFonts w:ascii="Times New Roman" w:hAnsi="Times New Roman" w:cs="Times New Roman"/>
              </w:rPr>
              <w:t>, 175 So.3d 879 (Fla. 4th DCA 2015)</w:t>
            </w:r>
          </w:p>
        </w:tc>
        <w:tc>
          <w:tcPr>
            <w:tcW w:w="1338" w:type="dxa"/>
          </w:tcPr>
          <w:p w14:paraId="7B761450" w14:textId="77777777" w:rsidR="0094571C" w:rsidRPr="0094571C" w:rsidRDefault="0094571C" w:rsidP="00AB0F72">
            <w:pPr>
              <w:rPr>
                <w:rFonts w:ascii="Times New Roman" w:hAnsi="Times New Roman" w:cs="Times New Roman"/>
              </w:rPr>
            </w:pPr>
            <w:r w:rsidRPr="0094571C">
              <w:rPr>
                <w:rFonts w:ascii="Times New Roman" w:hAnsi="Times New Roman" w:cs="Times New Roman"/>
              </w:rPr>
              <w:t>2015 / Corporation</w:t>
            </w:r>
          </w:p>
        </w:tc>
        <w:tc>
          <w:tcPr>
            <w:tcW w:w="4645" w:type="dxa"/>
          </w:tcPr>
          <w:p w14:paraId="7BF62889" w14:textId="77777777" w:rsidR="0094571C" w:rsidRPr="0094571C" w:rsidRDefault="0094571C" w:rsidP="00AB0F72">
            <w:pPr>
              <w:rPr>
                <w:rFonts w:ascii="Times New Roman" w:hAnsi="Times New Roman" w:cs="Times New Roman"/>
              </w:rPr>
            </w:pPr>
            <w:r w:rsidRPr="0094571C">
              <w:rPr>
                <w:rFonts w:ascii="Times New Roman" w:hAnsi="Times New Roman" w:cs="Times New Roman"/>
              </w:rPr>
              <w:t>During the financial crisis, bank directors told certain shareholders that the bank held no toxic assets. Relying on this, shareholders declined to redeem their shares. The bank soon collapsed, wiping out their investment. Plaintiffs alleged fraudulent misrepresentation caused a unique harm to them.</w:t>
            </w:r>
          </w:p>
        </w:tc>
        <w:tc>
          <w:tcPr>
            <w:tcW w:w="2025" w:type="dxa"/>
          </w:tcPr>
          <w:p w14:paraId="2D7E0A21" w14:textId="51300C13" w:rsidR="0094571C" w:rsidRPr="0094571C" w:rsidRDefault="0094571C" w:rsidP="00AB0F72">
            <w:pPr>
              <w:rPr>
                <w:rFonts w:ascii="Times New Roman" w:hAnsi="Times New Roman" w:cs="Times New Roman"/>
              </w:rPr>
            </w:pPr>
            <w:r w:rsidRPr="0094571C">
              <w:rPr>
                <w:rFonts w:ascii="Times New Roman" w:hAnsi="Times New Roman" w:cs="Times New Roman"/>
              </w:rPr>
              <w:t xml:space="preserve">Adopted </w:t>
            </w:r>
            <w:r w:rsidRPr="0094571C">
              <w:rPr>
                <w:rFonts w:ascii="Times New Roman" w:hAnsi="Times New Roman" w:cs="Times New Roman"/>
                <w:i/>
                <w:iCs/>
              </w:rPr>
              <w:t>Dinuro</w:t>
            </w:r>
            <w:r w:rsidRPr="0094571C">
              <w:rPr>
                <w:rFonts w:ascii="Times New Roman" w:hAnsi="Times New Roman" w:cs="Times New Roman"/>
              </w:rPr>
              <w:t xml:space="preserve"> two-prong test. Analyzed Florida Law and states exception where there is a separate contractual or statutory duty.</w:t>
            </w:r>
          </w:p>
        </w:tc>
        <w:tc>
          <w:tcPr>
            <w:tcW w:w="3410" w:type="dxa"/>
          </w:tcPr>
          <w:p w14:paraId="57575F4A" w14:textId="77777777" w:rsidR="0094571C" w:rsidRPr="0094571C" w:rsidRDefault="0094571C" w:rsidP="00AB0F72">
            <w:pPr>
              <w:rPr>
                <w:rFonts w:ascii="Times New Roman" w:hAnsi="Times New Roman" w:cs="Times New Roman"/>
              </w:rPr>
            </w:pPr>
            <w:r w:rsidRPr="0094571C">
              <w:rPr>
                <w:rFonts w:ascii="Times New Roman" w:hAnsi="Times New Roman" w:cs="Times New Roman"/>
              </w:rPr>
              <w:t>Court held misrepresentation caused direct harm unique to a small group (they lost chance to redeem). Both prongs satisfied. Direct standing allowed.</w:t>
            </w:r>
          </w:p>
        </w:tc>
        <w:tc>
          <w:tcPr>
            <w:tcW w:w="1800" w:type="dxa"/>
          </w:tcPr>
          <w:p w14:paraId="46329652" w14:textId="5A4B3EBD" w:rsidR="0094571C" w:rsidRPr="0094571C" w:rsidRDefault="0094571C" w:rsidP="00AB0F72">
            <w:pPr>
              <w:rPr>
                <w:rFonts w:ascii="Times New Roman" w:hAnsi="Times New Roman" w:cs="Times New Roman"/>
              </w:rPr>
            </w:pPr>
            <w:r w:rsidRPr="0094571C">
              <w:rPr>
                <w:rFonts w:ascii="Times New Roman" w:hAnsi="Times New Roman" w:cs="Times New Roman"/>
              </w:rPr>
              <w:t>No</w:t>
            </w:r>
            <w:r w:rsidR="007670E4">
              <w:rPr>
                <w:rFonts w:ascii="Times New Roman" w:hAnsi="Times New Roman" w:cs="Times New Roman"/>
              </w:rPr>
              <w:t>.</w:t>
            </w:r>
          </w:p>
        </w:tc>
      </w:tr>
      <w:tr w:rsidR="0094571C" w:rsidRPr="0094571C" w14:paraId="7B1F90B6" w14:textId="1DBD8F33" w:rsidTr="007670E4">
        <w:tc>
          <w:tcPr>
            <w:tcW w:w="2077" w:type="dxa"/>
          </w:tcPr>
          <w:p w14:paraId="795F0D89" w14:textId="77777777" w:rsidR="0094571C" w:rsidRPr="0094571C" w:rsidRDefault="0094571C" w:rsidP="00AB0F72">
            <w:pPr>
              <w:rPr>
                <w:rFonts w:ascii="Times New Roman" w:hAnsi="Times New Roman" w:cs="Times New Roman"/>
              </w:rPr>
            </w:pPr>
            <w:r w:rsidRPr="0094571C">
              <w:rPr>
                <w:rFonts w:ascii="Times New Roman" w:hAnsi="Times New Roman" w:cs="Times New Roman"/>
                <w:i/>
                <w:iCs/>
              </w:rPr>
              <w:t>Ferk Family, LP v. Frank</w:t>
            </w:r>
            <w:r w:rsidRPr="0094571C">
              <w:rPr>
                <w:rFonts w:ascii="Times New Roman" w:hAnsi="Times New Roman" w:cs="Times New Roman"/>
              </w:rPr>
              <w:t>, 240 So.3d 826 (Fla. 3d DCA 2018)</w:t>
            </w:r>
          </w:p>
        </w:tc>
        <w:tc>
          <w:tcPr>
            <w:tcW w:w="1338" w:type="dxa"/>
          </w:tcPr>
          <w:p w14:paraId="4E973967" w14:textId="77777777" w:rsidR="0094571C" w:rsidRPr="0094571C" w:rsidRDefault="0094571C" w:rsidP="00AB0F72">
            <w:pPr>
              <w:rPr>
                <w:rFonts w:ascii="Times New Roman" w:hAnsi="Times New Roman" w:cs="Times New Roman"/>
              </w:rPr>
            </w:pPr>
            <w:r w:rsidRPr="0094571C">
              <w:rPr>
                <w:rFonts w:ascii="Times New Roman" w:hAnsi="Times New Roman" w:cs="Times New Roman"/>
              </w:rPr>
              <w:t>2018 / LLC</w:t>
            </w:r>
          </w:p>
        </w:tc>
        <w:tc>
          <w:tcPr>
            <w:tcW w:w="4645" w:type="dxa"/>
          </w:tcPr>
          <w:p w14:paraId="1A820F32" w14:textId="4CE497E3" w:rsidR="0094571C" w:rsidRPr="0094571C" w:rsidRDefault="0094571C" w:rsidP="00AB0F72">
            <w:pPr>
              <w:rPr>
                <w:rFonts w:ascii="Times New Roman" w:hAnsi="Times New Roman" w:cs="Times New Roman"/>
              </w:rPr>
            </w:pPr>
            <w:r w:rsidRPr="0094571C">
              <w:rPr>
                <w:rFonts w:ascii="Times New Roman" w:hAnsi="Times New Roman" w:cs="Times New Roman"/>
              </w:rPr>
              <w:t xml:space="preserve">LLC members clashed over management rights and ownership transfers. One member secretly acquired another member entity’s ownership interests, giving him control over 40%+ of the company. Operating agreement had removal procedures for managers and a right of first refusal. Dispute centered on validity of the transfer and manager removal. Operating agreement also allowed for direct claims but included a provision stating that the operating agreement would not limit any additional remedies that the members may be entitled to. </w:t>
            </w:r>
          </w:p>
        </w:tc>
        <w:tc>
          <w:tcPr>
            <w:tcW w:w="2025" w:type="dxa"/>
          </w:tcPr>
          <w:p w14:paraId="0A8D9E6D" w14:textId="77777777" w:rsidR="0094571C" w:rsidRPr="0094571C" w:rsidRDefault="0094571C" w:rsidP="00AB0F72">
            <w:pPr>
              <w:rPr>
                <w:rFonts w:ascii="Times New Roman" w:hAnsi="Times New Roman" w:cs="Times New Roman"/>
              </w:rPr>
            </w:pPr>
            <w:r w:rsidRPr="0094571C">
              <w:rPr>
                <w:rFonts w:ascii="Times New Roman" w:hAnsi="Times New Roman" w:cs="Times New Roman"/>
                <w:i/>
                <w:iCs/>
              </w:rPr>
              <w:t>Dinuro</w:t>
            </w:r>
            <w:r w:rsidRPr="0094571C">
              <w:rPr>
                <w:rFonts w:ascii="Times New Roman" w:hAnsi="Times New Roman" w:cs="Times New Roman"/>
              </w:rPr>
              <w:t xml:space="preserve"> + contractual/statutory duty exception.</w:t>
            </w:r>
          </w:p>
        </w:tc>
        <w:tc>
          <w:tcPr>
            <w:tcW w:w="3410" w:type="dxa"/>
          </w:tcPr>
          <w:p w14:paraId="760363FB" w14:textId="56C928D0" w:rsidR="0094571C" w:rsidRPr="0094571C" w:rsidRDefault="0094571C" w:rsidP="00AB0F72">
            <w:pPr>
              <w:rPr>
                <w:rFonts w:ascii="Times New Roman" w:hAnsi="Times New Roman" w:cs="Times New Roman"/>
              </w:rPr>
            </w:pPr>
            <w:r w:rsidRPr="0094571C">
              <w:rPr>
                <w:rFonts w:ascii="Times New Roman" w:hAnsi="Times New Roman" w:cs="Times New Roman"/>
              </w:rPr>
              <w:t xml:space="preserve">Court held operating agreement created a recognized contractual exception to bringing direct claims without meeting the </w:t>
            </w:r>
            <w:r w:rsidRPr="0094571C">
              <w:rPr>
                <w:rFonts w:ascii="Times New Roman" w:hAnsi="Times New Roman" w:cs="Times New Roman"/>
                <w:i/>
                <w:iCs/>
              </w:rPr>
              <w:t>Dinuro</w:t>
            </w:r>
            <w:r w:rsidRPr="0094571C">
              <w:rPr>
                <w:rFonts w:ascii="Times New Roman" w:hAnsi="Times New Roman" w:cs="Times New Roman"/>
              </w:rPr>
              <w:t xml:space="preserve"> test.  Direct standing allowed.</w:t>
            </w:r>
          </w:p>
        </w:tc>
        <w:tc>
          <w:tcPr>
            <w:tcW w:w="1800" w:type="dxa"/>
          </w:tcPr>
          <w:p w14:paraId="0C2B4EFA" w14:textId="13B2C84E" w:rsidR="0094571C" w:rsidRPr="0094571C" w:rsidRDefault="0094571C" w:rsidP="00AB0F72">
            <w:pPr>
              <w:rPr>
                <w:rFonts w:ascii="Times New Roman" w:hAnsi="Times New Roman" w:cs="Times New Roman"/>
              </w:rPr>
            </w:pPr>
            <w:r w:rsidRPr="0094571C">
              <w:rPr>
                <w:rFonts w:ascii="Times New Roman" w:hAnsi="Times New Roman" w:cs="Times New Roman"/>
              </w:rPr>
              <w:t>No</w:t>
            </w:r>
            <w:r w:rsidR="007670E4">
              <w:rPr>
                <w:rFonts w:ascii="Times New Roman" w:hAnsi="Times New Roman" w:cs="Times New Roman"/>
              </w:rPr>
              <w:t>.</w:t>
            </w:r>
          </w:p>
        </w:tc>
      </w:tr>
      <w:tr w:rsidR="0094571C" w:rsidRPr="0094571C" w14:paraId="4D9005B7" w14:textId="7481902E" w:rsidTr="007670E4">
        <w:tc>
          <w:tcPr>
            <w:tcW w:w="2077" w:type="dxa"/>
          </w:tcPr>
          <w:p w14:paraId="04FF91FA" w14:textId="77777777" w:rsidR="0094571C" w:rsidRPr="0094571C" w:rsidRDefault="0094571C" w:rsidP="00AB0F72">
            <w:pPr>
              <w:rPr>
                <w:rFonts w:ascii="Times New Roman" w:hAnsi="Times New Roman" w:cs="Times New Roman"/>
              </w:rPr>
            </w:pPr>
            <w:r w:rsidRPr="0094571C">
              <w:rPr>
                <w:rFonts w:ascii="Times New Roman" w:hAnsi="Times New Roman" w:cs="Times New Roman"/>
                <w:i/>
                <w:iCs/>
              </w:rPr>
              <w:t>Arbitrage Fund v. Petty</w:t>
            </w:r>
            <w:r w:rsidRPr="0094571C">
              <w:rPr>
                <w:rFonts w:ascii="Times New Roman" w:hAnsi="Times New Roman" w:cs="Times New Roman"/>
              </w:rPr>
              <w:t>, 307 So.3d 119 (Fla. 3d DCA 2020)</w:t>
            </w:r>
          </w:p>
        </w:tc>
        <w:tc>
          <w:tcPr>
            <w:tcW w:w="1338" w:type="dxa"/>
          </w:tcPr>
          <w:p w14:paraId="5B8FE109" w14:textId="77777777" w:rsidR="0094571C" w:rsidRPr="0094571C" w:rsidRDefault="0094571C" w:rsidP="00AB0F72">
            <w:pPr>
              <w:rPr>
                <w:rFonts w:ascii="Times New Roman" w:hAnsi="Times New Roman" w:cs="Times New Roman"/>
              </w:rPr>
            </w:pPr>
            <w:r w:rsidRPr="0094571C">
              <w:rPr>
                <w:rFonts w:ascii="Times New Roman" w:hAnsi="Times New Roman" w:cs="Times New Roman"/>
              </w:rPr>
              <w:t>2020 / Public Corporation</w:t>
            </w:r>
          </w:p>
        </w:tc>
        <w:tc>
          <w:tcPr>
            <w:tcW w:w="4645" w:type="dxa"/>
          </w:tcPr>
          <w:p w14:paraId="39B8FF78" w14:textId="3CAEDDF3" w:rsidR="0094571C" w:rsidRPr="0094571C" w:rsidRDefault="0094571C" w:rsidP="00AB0F72">
            <w:pPr>
              <w:rPr>
                <w:rFonts w:ascii="Times New Roman" w:hAnsi="Times New Roman" w:cs="Times New Roman"/>
              </w:rPr>
            </w:pPr>
            <w:r w:rsidRPr="0094571C">
              <w:rPr>
                <w:rFonts w:ascii="Times New Roman" w:hAnsi="Times New Roman" w:cs="Times New Roman"/>
              </w:rPr>
              <w:t>Cash-out merger: minority shareholders forced to sell at allegedly undervalued price. Controlling shareholders received rollover equity and jobs in the new entity, creating a conflict of interest. Minority alleged unfair process and harm from exclusion from rollover because they did not retain any stock.</w:t>
            </w:r>
          </w:p>
        </w:tc>
        <w:tc>
          <w:tcPr>
            <w:tcW w:w="2025" w:type="dxa"/>
          </w:tcPr>
          <w:p w14:paraId="092D7956" w14:textId="77777777" w:rsidR="0094571C" w:rsidRPr="0094571C" w:rsidRDefault="0094571C" w:rsidP="00AB0F72">
            <w:pPr>
              <w:rPr>
                <w:rFonts w:ascii="Times New Roman" w:hAnsi="Times New Roman" w:cs="Times New Roman"/>
              </w:rPr>
            </w:pPr>
            <w:r w:rsidRPr="0094571C">
              <w:rPr>
                <w:rFonts w:ascii="Times New Roman" w:hAnsi="Times New Roman" w:cs="Times New Roman"/>
                <w:i/>
                <w:iCs/>
              </w:rPr>
              <w:t>Dinuro</w:t>
            </w:r>
            <w:r w:rsidRPr="0094571C">
              <w:rPr>
                <w:rFonts w:ascii="Times New Roman" w:hAnsi="Times New Roman" w:cs="Times New Roman"/>
              </w:rPr>
              <w:t xml:space="preserve"> applied.</w:t>
            </w:r>
          </w:p>
        </w:tc>
        <w:tc>
          <w:tcPr>
            <w:tcW w:w="3410" w:type="dxa"/>
          </w:tcPr>
          <w:p w14:paraId="30948A72" w14:textId="1C710515" w:rsidR="0094571C" w:rsidRPr="0094571C" w:rsidRDefault="0094571C" w:rsidP="00AB0F72">
            <w:pPr>
              <w:rPr>
                <w:rFonts w:ascii="Times New Roman" w:hAnsi="Times New Roman" w:cs="Times New Roman"/>
              </w:rPr>
            </w:pPr>
            <w:r w:rsidRPr="0094571C">
              <w:rPr>
                <w:rFonts w:ascii="Times New Roman" w:hAnsi="Times New Roman" w:cs="Times New Roman"/>
              </w:rPr>
              <w:t>Court held harm from undervaluation and job loss flowed to corporation (derivative). But denial of rollover equity was direct harm unique to subgroup. Court expanded special injury to identifiable shareholder classes. Court found that just because more than one shareholder was affected it did not mean that the injury was any less special. Direct standing allowed on rollover claim.</w:t>
            </w:r>
          </w:p>
        </w:tc>
        <w:tc>
          <w:tcPr>
            <w:tcW w:w="1800" w:type="dxa"/>
          </w:tcPr>
          <w:p w14:paraId="4D7F1C84" w14:textId="77777777" w:rsidR="0094571C" w:rsidRPr="0094571C" w:rsidRDefault="0094571C" w:rsidP="0094571C">
            <w:pPr>
              <w:rPr>
                <w:rFonts w:ascii="Times New Roman" w:hAnsi="Times New Roman" w:cs="Times New Roman"/>
                <w:b/>
                <w:bCs/>
              </w:rPr>
            </w:pPr>
            <w:r w:rsidRPr="0094571C">
              <w:rPr>
                <w:rFonts w:ascii="Times New Roman" w:hAnsi="Times New Roman" w:cs="Times New Roman"/>
                <w:b/>
                <w:bCs/>
              </w:rPr>
              <w:t>Fla. Stat. § 607.0750</w:t>
            </w:r>
          </w:p>
          <w:p w14:paraId="298519DE" w14:textId="36895498" w:rsidR="0094571C" w:rsidRPr="0094571C" w:rsidRDefault="0094571C" w:rsidP="00AB0F72">
            <w:pPr>
              <w:rPr>
                <w:rFonts w:ascii="Times New Roman" w:hAnsi="Times New Roman" w:cs="Times New Roman"/>
              </w:rPr>
            </w:pPr>
            <w:r w:rsidRPr="0094571C">
              <w:rPr>
                <w:rFonts w:ascii="Times New Roman" w:hAnsi="Times New Roman" w:cs="Times New Roman"/>
              </w:rPr>
              <w:t xml:space="preserve">is cited in fn. Parties conceded that statute codified </w:t>
            </w:r>
            <w:r w:rsidRPr="0094571C">
              <w:rPr>
                <w:rFonts w:ascii="Times New Roman" w:hAnsi="Times New Roman" w:cs="Times New Roman"/>
                <w:i/>
                <w:iCs/>
              </w:rPr>
              <w:t>Dinuro</w:t>
            </w:r>
            <w:r w:rsidRPr="0094571C">
              <w:rPr>
                <w:rFonts w:ascii="Times New Roman" w:hAnsi="Times New Roman" w:cs="Times New Roman"/>
              </w:rPr>
              <w:t xml:space="preserve"> but disagreed on how to interpret it. Court did not reach the retroactivity of the statute because they found there was </w:t>
            </w:r>
            <w:r w:rsidRPr="0094571C">
              <w:rPr>
                <w:rFonts w:ascii="Times New Roman" w:hAnsi="Times New Roman" w:cs="Times New Roman"/>
              </w:rPr>
              <w:lastRenderedPageBreak/>
              <w:t xml:space="preserve">standing under </w:t>
            </w:r>
            <w:r w:rsidRPr="0094571C">
              <w:rPr>
                <w:rFonts w:ascii="Times New Roman" w:hAnsi="Times New Roman" w:cs="Times New Roman"/>
                <w:i/>
                <w:iCs/>
              </w:rPr>
              <w:t>Dinuro</w:t>
            </w:r>
            <w:r w:rsidRPr="0094571C">
              <w:rPr>
                <w:rFonts w:ascii="Times New Roman" w:hAnsi="Times New Roman" w:cs="Times New Roman"/>
              </w:rPr>
              <w:t>.</w:t>
            </w:r>
          </w:p>
        </w:tc>
      </w:tr>
      <w:tr w:rsidR="0094571C" w:rsidRPr="0094571C" w14:paraId="0532EFD0" w14:textId="723E155D" w:rsidTr="007670E4">
        <w:tc>
          <w:tcPr>
            <w:tcW w:w="2077" w:type="dxa"/>
          </w:tcPr>
          <w:p w14:paraId="29381034" w14:textId="77777777" w:rsidR="0094571C" w:rsidRPr="0094571C" w:rsidRDefault="0094571C" w:rsidP="00AB0F72">
            <w:pPr>
              <w:rPr>
                <w:rFonts w:ascii="Times New Roman" w:hAnsi="Times New Roman" w:cs="Times New Roman"/>
              </w:rPr>
            </w:pPr>
            <w:r w:rsidRPr="0094571C">
              <w:rPr>
                <w:rFonts w:ascii="Times New Roman" w:hAnsi="Times New Roman" w:cs="Times New Roman"/>
                <w:i/>
                <w:iCs/>
              </w:rPr>
              <w:lastRenderedPageBreak/>
              <w:t>Feng v. Walsh</w:t>
            </w:r>
            <w:r w:rsidRPr="0094571C">
              <w:rPr>
                <w:rFonts w:ascii="Times New Roman" w:hAnsi="Times New Roman" w:cs="Times New Roman"/>
              </w:rPr>
              <w:t>, 2020 WL 5822420 (S.D. Fla. Sept. 14, 2020)</w:t>
            </w:r>
          </w:p>
        </w:tc>
        <w:tc>
          <w:tcPr>
            <w:tcW w:w="1338" w:type="dxa"/>
          </w:tcPr>
          <w:p w14:paraId="66D262BF" w14:textId="77777777" w:rsidR="0094571C" w:rsidRPr="0094571C" w:rsidRDefault="0094571C" w:rsidP="00AB0F72">
            <w:pPr>
              <w:rPr>
                <w:rFonts w:ascii="Times New Roman" w:hAnsi="Times New Roman" w:cs="Times New Roman"/>
              </w:rPr>
            </w:pPr>
            <w:r w:rsidRPr="0094571C">
              <w:rPr>
                <w:rFonts w:ascii="Times New Roman" w:hAnsi="Times New Roman" w:cs="Times New Roman"/>
              </w:rPr>
              <w:t>2020 / Corporation</w:t>
            </w:r>
          </w:p>
        </w:tc>
        <w:tc>
          <w:tcPr>
            <w:tcW w:w="4645" w:type="dxa"/>
          </w:tcPr>
          <w:p w14:paraId="30231AA5" w14:textId="77777777" w:rsidR="0094571C" w:rsidRPr="0094571C" w:rsidRDefault="0094571C" w:rsidP="00AB0F72">
            <w:pPr>
              <w:rPr>
                <w:rFonts w:ascii="Times New Roman" w:hAnsi="Times New Roman" w:cs="Times New Roman"/>
              </w:rPr>
            </w:pPr>
            <w:r w:rsidRPr="0094571C">
              <w:rPr>
                <w:rFonts w:ascii="Times New Roman" w:hAnsi="Times New Roman" w:cs="Times New Roman"/>
              </w:rPr>
              <w:t>Shareholder alleged directors mismanaged corporation, engaged in self-dealing, and reduced company value. Plaintiff sought damages individually.</w:t>
            </w:r>
          </w:p>
        </w:tc>
        <w:tc>
          <w:tcPr>
            <w:tcW w:w="2025" w:type="dxa"/>
          </w:tcPr>
          <w:p w14:paraId="4DC1FCF0" w14:textId="77777777" w:rsidR="0094571C" w:rsidRPr="0094571C" w:rsidRDefault="0094571C" w:rsidP="00AB0F72">
            <w:pPr>
              <w:rPr>
                <w:rFonts w:ascii="Times New Roman" w:hAnsi="Times New Roman" w:cs="Times New Roman"/>
              </w:rPr>
            </w:pPr>
            <w:r w:rsidRPr="0094571C">
              <w:rPr>
                <w:rFonts w:ascii="Times New Roman" w:hAnsi="Times New Roman" w:cs="Times New Roman"/>
                <w:i/>
                <w:iCs/>
              </w:rPr>
              <w:t>Dinuro</w:t>
            </w:r>
            <w:r w:rsidRPr="0094571C">
              <w:rPr>
                <w:rFonts w:ascii="Times New Roman" w:hAnsi="Times New Roman" w:cs="Times New Roman"/>
              </w:rPr>
              <w:t xml:space="preserve"> cited.</w:t>
            </w:r>
          </w:p>
        </w:tc>
        <w:tc>
          <w:tcPr>
            <w:tcW w:w="3410" w:type="dxa"/>
          </w:tcPr>
          <w:p w14:paraId="26116A97" w14:textId="77777777" w:rsidR="0094571C" w:rsidRPr="0094571C" w:rsidRDefault="0094571C" w:rsidP="00AB0F72">
            <w:pPr>
              <w:rPr>
                <w:rFonts w:ascii="Times New Roman" w:hAnsi="Times New Roman" w:cs="Times New Roman"/>
              </w:rPr>
            </w:pPr>
            <w:r w:rsidRPr="0094571C">
              <w:rPr>
                <w:rFonts w:ascii="Times New Roman" w:hAnsi="Times New Roman" w:cs="Times New Roman"/>
              </w:rPr>
              <w:t>Court held harm alleged was loss in share value—derivative harm to corporation. No direct harm or special injury. Direct standing denied.</w:t>
            </w:r>
          </w:p>
        </w:tc>
        <w:tc>
          <w:tcPr>
            <w:tcW w:w="1800" w:type="dxa"/>
          </w:tcPr>
          <w:p w14:paraId="52C68812" w14:textId="48E0E18A" w:rsidR="0094571C" w:rsidRPr="0094571C" w:rsidRDefault="0094571C" w:rsidP="00AB0F72">
            <w:pPr>
              <w:rPr>
                <w:rFonts w:ascii="Times New Roman" w:hAnsi="Times New Roman" w:cs="Times New Roman"/>
              </w:rPr>
            </w:pPr>
            <w:r w:rsidRPr="0094571C">
              <w:rPr>
                <w:rFonts w:ascii="Times New Roman" w:hAnsi="Times New Roman" w:cs="Times New Roman"/>
                <w:b/>
                <w:bCs/>
              </w:rPr>
              <w:t>Fla. Stat. § 620.2001</w:t>
            </w:r>
            <w:r w:rsidRPr="0094571C">
              <w:rPr>
                <w:rFonts w:ascii="Times New Roman" w:hAnsi="Times New Roman" w:cs="Times New Roman"/>
              </w:rPr>
              <w:t xml:space="preserve"> cited. Court uses </w:t>
            </w:r>
            <w:r w:rsidRPr="0094571C">
              <w:rPr>
                <w:rFonts w:ascii="Times New Roman" w:hAnsi="Times New Roman" w:cs="Times New Roman"/>
                <w:i/>
                <w:iCs/>
              </w:rPr>
              <w:t>Dinuro</w:t>
            </w:r>
            <w:r w:rsidRPr="0094571C">
              <w:rPr>
                <w:rFonts w:ascii="Times New Roman" w:hAnsi="Times New Roman" w:cs="Times New Roman"/>
              </w:rPr>
              <w:t xml:space="preserve"> to interpret the statute.</w:t>
            </w:r>
          </w:p>
        </w:tc>
      </w:tr>
      <w:tr w:rsidR="0094571C" w:rsidRPr="0094571C" w14:paraId="09A73B11" w14:textId="255EFAF9" w:rsidTr="007670E4">
        <w:tc>
          <w:tcPr>
            <w:tcW w:w="2077" w:type="dxa"/>
          </w:tcPr>
          <w:p w14:paraId="0E26A095" w14:textId="77777777" w:rsidR="0094571C" w:rsidRPr="0094571C" w:rsidRDefault="0094571C" w:rsidP="00AB0F72">
            <w:pPr>
              <w:rPr>
                <w:rFonts w:ascii="Times New Roman" w:hAnsi="Times New Roman" w:cs="Times New Roman"/>
              </w:rPr>
            </w:pPr>
            <w:r w:rsidRPr="0094571C">
              <w:rPr>
                <w:rFonts w:ascii="Times New Roman" w:hAnsi="Times New Roman" w:cs="Times New Roman"/>
                <w:i/>
                <w:iCs/>
              </w:rPr>
              <w:t>Cook County Land</w:t>
            </w:r>
            <w:r w:rsidRPr="0094571C">
              <w:rPr>
                <w:rFonts w:ascii="Times New Roman" w:hAnsi="Times New Roman" w:cs="Times New Roman"/>
              </w:rPr>
              <w:t xml:space="preserve"> </w:t>
            </w:r>
            <w:r w:rsidRPr="0094571C">
              <w:rPr>
                <w:rFonts w:ascii="Times New Roman" w:hAnsi="Times New Roman" w:cs="Times New Roman"/>
                <w:i/>
                <w:iCs/>
              </w:rPr>
              <w:t>Ventures, LLC v. Moonspinner Condo. Ass’n, Inc.</w:t>
            </w:r>
            <w:r w:rsidRPr="0094571C">
              <w:rPr>
                <w:rFonts w:ascii="Times New Roman" w:hAnsi="Times New Roman" w:cs="Times New Roman"/>
              </w:rPr>
              <w:t>, 2021 WL 5015631 (N.D. Fla. Feb. 17, 2021)</w:t>
            </w:r>
          </w:p>
        </w:tc>
        <w:tc>
          <w:tcPr>
            <w:tcW w:w="1338" w:type="dxa"/>
          </w:tcPr>
          <w:p w14:paraId="7AEB396F" w14:textId="77777777" w:rsidR="0094571C" w:rsidRPr="0094571C" w:rsidRDefault="0094571C" w:rsidP="00AB0F72">
            <w:pPr>
              <w:rPr>
                <w:rFonts w:ascii="Times New Roman" w:hAnsi="Times New Roman" w:cs="Times New Roman"/>
              </w:rPr>
            </w:pPr>
            <w:r w:rsidRPr="0094571C">
              <w:rPr>
                <w:rFonts w:ascii="Times New Roman" w:hAnsi="Times New Roman" w:cs="Times New Roman"/>
              </w:rPr>
              <w:t>2021 / LLC</w:t>
            </w:r>
          </w:p>
        </w:tc>
        <w:tc>
          <w:tcPr>
            <w:tcW w:w="4645" w:type="dxa"/>
          </w:tcPr>
          <w:p w14:paraId="2D075834" w14:textId="77777777" w:rsidR="0094571C" w:rsidRPr="0094571C" w:rsidRDefault="0094571C" w:rsidP="00AB0F72">
            <w:pPr>
              <w:rPr>
                <w:rFonts w:ascii="Times New Roman" w:hAnsi="Times New Roman" w:cs="Times New Roman"/>
              </w:rPr>
            </w:pPr>
            <w:r w:rsidRPr="0094571C">
              <w:rPr>
                <w:rFonts w:ascii="Times New Roman" w:hAnsi="Times New Roman" w:cs="Times New Roman"/>
              </w:rPr>
              <w:t>Dispute between LLC and condominium association regarding condominium matters. LLC member tried to sue directly, arguing harm to its own interests.</w:t>
            </w:r>
          </w:p>
        </w:tc>
        <w:tc>
          <w:tcPr>
            <w:tcW w:w="2025" w:type="dxa"/>
          </w:tcPr>
          <w:p w14:paraId="0DCF868E" w14:textId="77777777" w:rsidR="0094571C" w:rsidRPr="0094571C" w:rsidRDefault="0094571C" w:rsidP="00AB0F72">
            <w:pPr>
              <w:rPr>
                <w:rFonts w:ascii="Times New Roman" w:hAnsi="Times New Roman" w:cs="Times New Roman"/>
              </w:rPr>
            </w:pPr>
            <w:r w:rsidRPr="0094571C">
              <w:rPr>
                <w:rFonts w:ascii="Times New Roman" w:hAnsi="Times New Roman" w:cs="Times New Roman"/>
                <w:i/>
                <w:iCs/>
              </w:rPr>
              <w:t>Dinuro</w:t>
            </w:r>
            <w:r w:rsidRPr="0094571C">
              <w:rPr>
                <w:rFonts w:ascii="Times New Roman" w:hAnsi="Times New Roman" w:cs="Times New Roman"/>
              </w:rPr>
              <w:t xml:space="preserve"> cited.</w:t>
            </w:r>
          </w:p>
        </w:tc>
        <w:tc>
          <w:tcPr>
            <w:tcW w:w="3410" w:type="dxa"/>
          </w:tcPr>
          <w:p w14:paraId="6D69A9E2" w14:textId="53605701" w:rsidR="0094571C" w:rsidRPr="0094571C" w:rsidRDefault="0094571C" w:rsidP="00AB0F72">
            <w:pPr>
              <w:rPr>
                <w:rFonts w:ascii="Times New Roman" w:hAnsi="Times New Roman" w:cs="Times New Roman"/>
              </w:rPr>
            </w:pPr>
            <w:r w:rsidRPr="0094571C">
              <w:rPr>
                <w:rFonts w:ascii="Times New Roman" w:hAnsi="Times New Roman" w:cs="Times New Roman"/>
              </w:rPr>
              <w:t xml:space="preserve">Court held that although statute allowed for derivative actions, it did not bar direct actions. Plaintiff was seeking to recover damages to its unit which were deemed separate and distinct. Thus, the Court found Plaintiff was not required to comply with requirements for derivative actions before filing suit. Direct standing allowed. </w:t>
            </w:r>
          </w:p>
        </w:tc>
        <w:tc>
          <w:tcPr>
            <w:tcW w:w="1800" w:type="dxa"/>
          </w:tcPr>
          <w:p w14:paraId="47CEF387" w14:textId="259EBCFC" w:rsidR="0094571C" w:rsidRPr="0094571C" w:rsidRDefault="0094571C" w:rsidP="00AB0F72">
            <w:pPr>
              <w:rPr>
                <w:rFonts w:ascii="Times New Roman" w:hAnsi="Times New Roman" w:cs="Times New Roman"/>
              </w:rPr>
            </w:pPr>
            <w:r w:rsidRPr="0094571C">
              <w:rPr>
                <w:rFonts w:ascii="Times New Roman" w:hAnsi="Times New Roman" w:cs="Times New Roman"/>
              </w:rPr>
              <w:t>No.</w:t>
            </w:r>
          </w:p>
        </w:tc>
      </w:tr>
      <w:tr w:rsidR="0094571C" w:rsidRPr="0094571C" w14:paraId="08D9ACC8" w14:textId="69617069" w:rsidTr="007670E4">
        <w:tc>
          <w:tcPr>
            <w:tcW w:w="2077" w:type="dxa"/>
          </w:tcPr>
          <w:p w14:paraId="6F91A74E" w14:textId="77777777" w:rsidR="0094571C" w:rsidRPr="0094571C" w:rsidRDefault="0094571C" w:rsidP="00AB0F72">
            <w:pPr>
              <w:rPr>
                <w:rFonts w:ascii="Times New Roman" w:hAnsi="Times New Roman" w:cs="Times New Roman"/>
              </w:rPr>
            </w:pPr>
            <w:r w:rsidRPr="0094571C">
              <w:rPr>
                <w:rFonts w:ascii="Times New Roman" w:hAnsi="Times New Roman" w:cs="Times New Roman"/>
                <w:i/>
                <w:iCs/>
              </w:rPr>
              <w:t>Christoff v. Inglese</w:t>
            </w:r>
            <w:r w:rsidRPr="0094571C">
              <w:rPr>
                <w:rFonts w:ascii="Times New Roman" w:hAnsi="Times New Roman" w:cs="Times New Roman"/>
              </w:rPr>
              <w:t>, 2022 WL 103564 (M.D. Fla. Jan. 11, 2022)</w:t>
            </w:r>
          </w:p>
        </w:tc>
        <w:tc>
          <w:tcPr>
            <w:tcW w:w="1338" w:type="dxa"/>
          </w:tcPr>
          <w:p w14:paraId="41CC5B04" w14:textId="77777777" w:rsidR="0094571C" w:rsidRPr="0094571C" w:rsidRDefault="0094571C" w:rsidP="00AB0F72">
            <w:pPr>
              <w:rPr>
                <w:rFonts w:ascii="Times New Roman" w:hAnsi="Times New Roman" w:cs="Times New Roman"/>
              </w:rPr>
            </w:pPr>
            <w:r w:rsidRPr="0094571C">
              <w:rPr>
                <w:rFonts w:ascii="Times New Roman" w:hAnsi="Times New Roman" w:cs="Times New Roman"/>
              </w:rPr>
              <w:t>2022 / LLC</w:t>
            </w:r>
          </w:p>
        </w:tc>
        <w:tc>
          <w:tcPr>
            <w:tcW w:w="4645" w:type="dxa"/>
          </w:tcPr>
          <w:p w14:paraId="57CC6FB5" w14:textId="77777777" w:rsidR="0094571C" w:rsidRPr="0094571C" w:rsidRDefault="0094571C" w:rsidP="00AB0F72">
            <w:pPr>
              <w:rPr>
                <w:rFonts w:ascii="Times New Roman" w:hAnsi="Times New Roman" w:cs="Times New Roman"/>
              </w:rPr>
            </w:pPr>
            <w:r w:rsidRPr="0094571C">
              <w:rPr>
                <w:rFonts w:ascii="Times New Roman" w:hAnsi="Times New Roman" w:cs="Times New Roman"/>
              </w:rPr>
              <w:t>LLC member alleged other members misappropriated funds and misused assets for personal benefit, depleting LLC’s value.</w:t>
            </w:r>
          </w:p>
        </w:tc>
        <w:tc>
          <w:tcPr>
            <w:tcW w:w="2025" w:type="dxa"/>
          </w:tcPr>
          <w:p w14:paraId="58E668FD" w14:textId="77777777" w:rsidR="0094571C" w:rsidRPr="0094571C" w:rsidRDefault="0094571C" w:rsidP="00AB0F72">
            <w:pPr>
              <w:rPr>
                <w:rFonts w:ascii="Times New Roman" w:hAnsi="Times New Roman" w:cs="Times New Roman"/>
              </w:rPr>
            </w:pPr>
            <w:r w:rsidRPr="0094571C">
              <w:rPr>
                <w:rFonts w:ascii="Times New Roman" w:hAnsi="Times New Roman" w:cs="Times New Roman"/>
                <w:i/>
                <w:iCs/>
              </w:rPr>
              <w:t>Dinuro</w:t>
            </w:r>
            <w:r w:rsidRPr="0094571C">
              <w:rPr>
                <w:rFonts w:ascii="Times New Roman" w:hAnsi="Times New Roman" w:cs="Times New Roman"/>
              </w:rPr>
              <w:t xml:space="preserve"> applied.</w:t>
            </w:r>
          </w:p>
        </w:tc>
        <w:tc>
          <w:tcPr>
            <w:tcW w:w="3410" w:type="dxa"/>
          </w:tcPr>
          <w:p w14:paraId="1A56A3E1" w14:textId="3B7C515A" w:rsidR="0094571C" w:rsidRPr="0094571C" w:rsidRDefault="0094571C" w:rsidP="00AB0F72">
            <w:pPr>
              <w:rPr>
                <w:rFonts w:ascii="Times New Roman" w:hAnsi="Times New Roman" w:cs="Times New Roman"/>
              </w:rPr>
            </w:pPr>
            <w:r w:rsidRPr="0094571C">
              <w:rPr>
                <w:rFonts w:ascii="Times New Roman" w:hAnsi="Times New Roman" w:cs="Times New Roman"/>
              </w:rPr>
              <w:t xml:space="preserve">Court found injury was to LLC; derivative required. Defendant’s argument that this was a direct action was denied and derivative standing was allowed. </w:t>
            </w:r>
          </w:p>
        </w:tc>
        <w:tc>
          <w:tcPr>
            <w:tcW w:w="1800" w:type="dxa"/>
          </w:tcPr>
          <w:p w14:paraId="5A225B56" w14:textId="24011924" w:rsidR="0094571C" w:rsidRPr="0094571C" w:rsidRDefault="0094571C" w:rsidP="00AB0F72">
            <w:pPr>
              <w:rPr>
                <w:rFonts w:ascii="Times New Roman" w:hAnsi="Times New Roman" w:cs="Times New Roman"/>
              </w:rPr>
            </w:pPr>
            <w:r w:rsidRPr="0094571C">
              <w:rPr>
                <w:rFonts w:ascii="Times New Roman" w:hAnsi="Times New Roman" w:cs="Times New Roman"/>
              </w:rPr>
              <w:t>No.</w:t>
            </w:r>
          </w:p>
        </w:tc>
      </w:tr>
      <w:tr w:rsidR="0094571C" w:rsidRPr="0094571C" w14:paraId="41E16565" w14:textId="7316E15C" w:rsidTr="007670E4">
        <w:tc>
          <w:tcPr>
            <w:tcW w:w="2077" w:type="dxa"/>
          </w:tcPr>
          <w:p w14:paraId="21C6376B" w14:textId="77777777" w:rsidR="0094571C" w:rsidRPr="0094571C" w:rsidRDefault="0094571C" w:rsidP="00AB0F72">
            <w:pPr>
              <w:rPr>
                <w:rFonts w:ascii="Times New Roman" w:hAnsi="Times New Roman" w:cs="Times New Roman"/>
              </w:rPr>
            </w:pPr>
            <w:r w:rsidRPr="0094571C">
              <w:rPr>
                <w:rFonts w:ascii="Times New Roman" w:hAnsi="Times New Roman" w:cs="Times New Roman"/>
                <w:i/>
                <w:iCs/>
              </w:rPr>
              <w:t>Goldsten v. Firer</w:t>
            </w:r>
            <w:r w:rsidRPr="0094571C">
              <w:rPr>
                <w:rFonts w:ascii="Times New Roman" w:hAnsi="Times New Roman" w:cs="Times New Roman"/>
              </w:rPr>
              <w:t>, 2022 WL 3161835 (S.D. Fla. June 17, 2022)</w:t>
            </w:r>
          </w:p>
        </w:tc>
        <w:tc>
          <w:tcPr>
            <w:tcW w:w="1338" w:type="dxa"/>
          </w:tcPr>
          <w:p w14:paraId="4C48D7A4" w14:textId="77777777" w:rsidR="0094571C" w:rsidRPr="0094571C" w:rsidRDefault="0094571C" w:rsidP="00AB0F72">
            <w:pPr>
              <w:rPr>
                <w:rFonts w:ascii="Times New Roman" w:hAnsi="Times New Roman" w:cs="Times New Roman"/>
              </w:rPr>
            </w:pPr>
            <w:r w:rsidRPr="0094571C">
              <w:rPr>
                <w:rFonts w:ascii="Times New Roman" w:hAnsi="Times New Roman" w:cs="Times New Roman"/>
              </w:rPr>
              <w:t>2022 / Corporation</w:t>
            </w:r>
          </w:p>
        </w:tc>
        <w:tc>
          <w:tcPr>
            <w:tcW w:w="4645" w:type="dxa"/>
          </w:tcPr>
          <w:p w14:paraId="21858B44" w14:textId="5542C5BB" w:rsidR="0094571C" w:rsidRPr="0094571C" w:rsidRDefault="0094571C" w:rsidP="00AB0F72">
            <w:pPr>
              <w:rPr>
                <w:rFonts w:ascii="Times New Roman" w:hAnsi="Times New Roman" w:cs="Times New Roman"/>
              </w:rPr>
            </w:pPr>
            <w:r w:rsidRPr="0094571C">
              <w:rPr>
                <w:rFonts w:ascii="Times New Roman" w:hAnsi="Times New Roman" w:cs="Times New Roman"/>
              </w:rPr>
              <w:t>Minority shareholder alleged controlling shareholder diverted assets and engaged in self-dealing. Plaintiff sued individually and included claims of harm to personal reputation.</w:t>
            </w:r>
          </w:p>
        </w:tc>
        <w:tc>
          <w:tcPr>
            <w:tcW w:w="2025" w:type="dxa"/>
          </w:tcPr>
          <w:p w14:paraId="1B3C7DA2" w14:textId="0B4155E1" w:rsidR="0094571C" w:rsidRPr="0094571C" w:rsidRDefault="0094571C" w:rsidP="00AB0F72">
            <w:pPr>
              <w:rPr>
                <w:rFonts w:ascii="Times New Roman" w:hAnsi="Times New Roman" w:cs="Times New Roman"/>
              </w:rPr>
            </w:pPr>
            <w:r w:rsidRPr="0094571C">
              <w:rPr>
                <w:rFonts w:ascii="Times New Roman" w:hAnsi="Times New Roman" w:cs="Times New Roman"/>
                <w:i/>
                <w:iCs/>
              </w:rPr>
              <w:t>Dinuro</w:t>
            </w:r>
            <w:r w:rsidRPr="0094571C">
              <w:rPr>
                <w:rFonts w:ascii="Times New Roman" w:hAnsi="Times New Roman" w:cs="Times New Roman"/>
              </w:rPr>
              <w:t xml:space="preserve"> mentioned in fn.</w:t>
            </w:r>
          </w:p>
        </w:tc>
        <w:tc>
          <w:tcPr>
            <w:tcW w:w="3410" w:type="dxa"/>
          </w:tcPr>
          <w:p w14:paraId="7AAC5FBA" w14:textId="571BDD0B" w:rsidR="0094571C" w:rsidRPr="0094571C" w:rsidRDefault="0094571C" w:rsidP="00AB0F72">
            <w:pPr>
              <w:rPr>
                <w:rFonts w:ascii="Times New Roman" w:hAnsi="Times New Roman" w:cs="Times New Roman"/>
              </w:rPr>
            </w:pPr>
            <w:r w:rsidRPr="0094571C">
              <w:rPr>
                <w:rFonts w:ascii="Times New Roman" w:hAnsi="Times New Roman" w:cs="Times New Roman"/>
              </w:rPr>
              <w:t>Court held that the injuries alleged by Plaintiffs were separate and distinct from that of the entity and allowed for the claims to proceed as a direct action.</w:t>
            </w:r>
          </w:p>
        </w:tc>
        <w:tc>
          <w:tcPr>
            <w:tcW w:w="1800" w:type="dxa"/>
          </w:tcPr>
          <w:p w14:paraId="4FD06E92" w14:textId="41282D90" w:rsidR="0094571C" w:rsidRPr="0094571C" w:rsidRDefault="0094571C" w:rsidP="00AB0F72">
            <w:pPr>
              <w:rPr>
                <w:rFonts w:ascii="Times New Roman" w:hAnsi="Times New Roman" w:cs="Times New Roman"/>
              </w:rPr>
            </w:pPr>
            <w:r w:rsidRPr="0094571C">
              <w:rPr>
                <w:rFonts w:ascii="Times New Roman" w:hAnsi="Times New Roman" w:cs="Times New Roman"/>
              </w:rPr>
              <w:t>No.</w:t>
            </w:r>
          </w:p>
        </w:tc>
      </w:tr>
      <w:tr w:rsidR="0094571C" w:rsidRPr="0094571C" w14:paraId="27CAD2FD" w14:textId="0A2EC350" w:rsidTr="007670E4">
        <w:tc>
          <w:tcPr>
            <w:tcW w:w="2077" w:type="dxa"/>
          </w:tcPr>
          <w:p w14:paraId="7EFBB312" w14:textId="77777777" w:rsidR="0094571C" w:rsidRPr="0094571C" w:rsidRDefault="0094571C" w:rsidP="00AB0F72">
            <w:pPr>
              <w:rPr>
                <w:rFonts w:ascii="Times New Roman" w:hAnsi="Times New Roman" w:cs="Times New Roman"/>
              </w:rPr>
            </w:pPr>
            <w:r w:rsidRPr="0094571C">
              <w:rPr>
                <w:rFonts w:ascii="Times New Roman" w:hAnsi="Times New Roman" w:cs="Times New Roman"/>
                <w:i/>
                <w:iCs/>
              </w:rPr>
              <w:t>Head Kandy, LLC v. McNeill</w:t>
            </w:r>
            <w:r w:rsidRPr="0094571C">
              <w:rPr>
                <w:rFonts w:ascii="Times New Roman" w:hAnsi="Times New Roman" w:cs="Times New Roman"/>
              </w:rPr>
              <w:t>, 2023 WL 7323284 (S.D. Fla. Nov. 7, 2023)</w:t>
            </w:r>
          </w:p>
        </w:tc>
        <w:tc>
          <w:tcPr>
            <w:tcW w:w="1338" w:type="dxa"/>
          </w:tcPr>
          <w:p w14:paraId="1911C283" w14:textId="77777777" w:rsidR="0094571C" w:rsidRPr="0094571C" w:rsidRDefault="0094571C" w:rsidP="00AB0F72">
            <w:pPr>
              <w:rPr>
                <w:rFonts w:ascii="Times New Roman" w:hAnsi="Times New Roman" w:cs="Times New Roman"/>
              </w:rPr>
            </w:pPr>
            <w:r w:rsidRPr="0094571C">
              <w:rPr>
                <w:rFonts w:ascii="Times New Roman" w:hAnsi="Times New Roman" w:cs="Times New Roman"/>
              </w:rPr>
              <w:t>2023 / LLC</w:t>
            </w:r>
          </w:p>
        </w:tc>
        <w:tc>
          <w:tcPr>
            <w:tcW w:w="4645" w:type="dxa"/>
          </w:tcPr>
          <w:p w14:paraId="595FD090" w14:textId="77777777" w:rsidR="0094571C" w:rsidRPr="0094571C" w:rsidRDefault="0094571C" w:rsidP="00AB0F72">
            <w:pPr>
              <w:rPr>
                <w:rFonts w:ascii="Times New Roman" w:hAnsi="Times New Roman" w:cs="Times New Roman"/>
              </w:rPr>
            </w:pPr>
            <w:r w:rsidRPr="0094571C">
              <w:rPr>
                <w:rFonts w:ascii="Times New Roman" w:hAnsi="Times New Roman" w:cs="Times New Roman"/>
              </w:rPr>
              <w:t>Members accused another member of diverting LLC opportunities and resources. Plaintiff sued directly.</w:t>
            </w:r>
          </w:p>
        </w:tc>
        <w:tc>
          <w:tcPr>
            <w:tcW w:w="2025" w:type="dxa"/>
          </w:tcPr>
          <w:p w14:paraId="4BD10E43" w14:textId="77777777" w:rsidR="0094571C" w:rsidRPr="0094571C" w:rsidRDefault="0094571C" w:rsidP="00AB0F72">
            <w:pPr>
              <w:rPr>
                <w:rFonts w:ascii="Times New Roman" w:hAnsi="Times New Roman" w:cs="Times New Roman"/>
              </w:rPr>
            </w:pPr>
            <w:r w:rsidRPr="0094571C">
              <w:rPr>
                <w:rFonts w:ascii="Times New Roman" w:hAnsi="Times New Roman" w:cs="Times New Roman"/>
                <w:i/>
                <w:iCs/>
              </w:rPr>
              <w:t>Dinuro</w:t>
            </w:r>
            <w:r w:rsidRPr="0094571C">
              <w:rPr>
                <w:rFonts w:ascii="Times New Roman" w:hAnsi="Times New Roman" w:cs="Times New Roman"/>
              </w:rPr>
              <w:t xml:space="preserve"> cited.</w:t>
            </w:r>
          </w:p>
        </w:tc>
        <w:tc>
          <w:tcPr>
            <w:tcW w:w="3410" w:type="dxa"/>
          </w:tcPr>
          <w:p w14:paraId="2E1CF409" w14:textId="5A76010F" w:rsidR="0094571C" w:rsidRPr="0094571C" w:rsidRDefault="0094571C" w:rsidP="00AB0F72">
            <w:pPr>
              <w:rPr>
                <w:rFonts w:ascii="Times New Roman" w:hAnsi="Times New Roman" w:cs="Times New Roman"/>
              </w:rPr>
            </w:pPr>
            <w:r w:rsidRPr="0094571C">
              <w:rPr>
                <w:rFonts w:ascii="Times New Roman" w:hAnsi="Times New Roman" w:cs="Times New Roman"/>
              </w:rPr>
              <w:t>Court held derivative action was proper as Plaintiffs did not have any claim in their individual capacity.</w:t>
            </w:r>
          </w:p>
        </w:tc>
        <w:tc>
          <w:tcPr>
            <w:tcW w:w="1800" w:type="dxa"/>
          </w:tcPr>
          <w:p w14:paraId="3F079999" w14:textId="6F5CAB67" w:rsidR="0094571C" w:rsidRPr="0094571C" w:rsidRDefault="0094571C" w:rsidP="00AB0F72">
            <w:pPr>
              <w:rPr>
                <w:rFonts w:ascii="Times New Roman" w:hAnsi="Times New Roman" w:cs="Times New Roman"/>
              </w:rPr>
            </w:pPr>
            <w:r w:rsidRPr="0094571C">
              <w:rPr>
                <w:rFonts w:ascii="Times New Roman" w:hAnsi="Times New Roman" w:cs="Times New Roman"/>
              </w:rPr>
              <w:t>No.</w:t>
            </w:r>
          </w:p>
        </w:tc>
      </w:tr>
      <w:tr w:rsidR="0094571C" w:rsidRPr="0094571C" w14:paraId="627CE355" w14:textId="219C4BA4" w:rsidTr="007670E4">
        <w:tc>
          <w:tcPr>
            <w:tcW w:w="2077" w:type="dxa"/>
          </w:tcPr>
          <w:p w14:paraId="6C1793FF" w14:textId="247F9BF7" w:rsidR="0094571C" w:rsidRPr="0094571C" w:rsidRDefault="0094571C" w:rsidP="002E7315">
            <w:pPr>
              <w:rPr>
                <w:rFonts w:ascii="Times New Roman" w:hAnsi="Times New Roman" w:cs="Times New Roman"/>
                <w:i/>
                <w:iCs/>
                <w:highlight w:val="yellow"/>
              </w:rPr>
            </w:pPr>
            <w:r w:rsidRPr="0094571C">
              <w:rPr>
                <w:rFonts w:ascii="Times New Roman" w:hAnsi="Times New Roman" w:cs="Times New Roman"/>
                <w:i/>
                <w:iCs/>
                <w:color w:val="000000"/>
              </w:rPr>
              <w:t>DiSorbo v. American Van Lines, Inc</w:t>
            </w:r>
            <w:r w:rsidRPr="0094571C">
              <w:rPr>
                <w:rFonts w:ascii="Times New Roman" w:hAnsi="Times New Roman" w:cs="Times New Roman"/>
                <w:color w:val="000000"/>
              </w:rPr>
              <w:t>., 354 So.3d 530 (Fla. 4th DCA 2023)</w:t>
            </w:r>
          </w:p>
        </w:tc>
        <w:tc>
          <w:tcPr>
            <w:tcW w:w="1338" w:type="dxa"/>
          </w:tcPr>
          <w:p w14:paraId="5F957BBF" w14:textId="5DA2EECE" w:rsidR="0094571C" w:rsidRPr="0094571C" w:rsidRDefault="0094571C" w:rsidP="002E7315">
            <w:pPr>
              <w:rPr>
                <w:rFonts w:ascii="Times New Roman" w:hAnsi="Times New Roman" w:cs="Times New Roman"/>
              </w:rPr>
            </w:pPr>
            <w:r w:rsidRPr="0094571C">
              <w:rPr>
                <w:rFonts w:ascii="Times New Roman" w:hAnsi="Times New Roman" w:cs="Times New Roman"/>
              </w:rPr>
              <w:t>2023 / LLC</w:t>
            </w:r>
          </w:p>
        </w:tc>
        <w:tc>
          <w:tcPr>
            <w:tcW w:w="4645" w:type="dxa"/>
          </w:tcPr>
          <w:p w14:paraId="04B92DA0" w14:textId="072FB280" w:rsidR="0094571C" w:rsidRPr="0094571C" w:rsidRDefault="0094571C" w:rsidP="002E7315">
            <w:pPr>
              <w:rPr>
                <w:rFonts w:ascii="Times New Roman" w:hAnsi="Times New Roman" w:cs="Times New Roman"/>
              </w:rPr>
            </w:pPr>
            <w:r w:rsidRPr="0094571C">
              <w:rPr>
                <w:rFonts w:ascii="Times New Roman" w:hAnsi="Times New Roman" w:cs="Times New Roman"/>
              </w:rPr>
              <w:t>Two brothers, Anthony and Aldo co-owned an LLC with cousins to buy a warehouse. Anthony arranged a $200,000 loan from LLC funds to buy out the cousins, diluting Aldo’s interest. Aldo alleged he believed Anthony was using personal funds. After gaining control, Anthony leased the warehouse to his own company at below-market rent, then subleased at higher rates, keeping profits. Aldo sued for conversion, dilution, and self-dealing. Trial court stayed direct claims and only tried derivative claims, ruling against Aldo.</w:t>
            </w:r>
          </w:p>
        </w:tc>
        <w:tc>
          <w:tcPr>
            <w:tcW w:w="2025" w:type="dxa"/>
          </w:tcPr>
          <w:p w14:paraId="4F18016E" w14:textId="151C475A" w:rsidR="0094571C" w:rsidRPr="0094571C" w:rsidRDefault="0094571C" w:rsidP="002E7315">
            <w:pPr>
              <w:rPr>
                <w:rFonts w:ascii="Times New Roman" w:hAnsi="Times New Roman" w:cs="Times New Roman"/>
                <w:i/>
                <w:iCs/>
              </w:rPr>
            </w:pPr>
            <w:r w:rsidRPr="0094571C">
              <w:rPr>
                <w:rFonts w:ascii="Times New Roman" w:hAnsi="Times New Roman" w:cs="Times New Roman"/>
              </w:rPr>
              <w:t xml:space="preserve">Court applied </w:t>
            </w:r>
            <w:r w:rsidRPr="0094571C">
              <w:rPr>
                <w:rFonts w:ascii="Times New Roman" w:hAnsi="Times New Roman" w:cs="Times New Roman"/>
                <w:i/>
                <w:iCs/>
              </w:rPr>
              <w:t>Dinuro</w:t>
            </w:r>
            <w:r w:rsidRPr="0094571C">
              <w:rPr>
                <w:rFonts w:ascii="Times New Roman" w:hAnsi="Times New Roman" w:cs="Times New Roman"/>
              </w:rPr>
              <w:t xml:space="preserve"> (direct harm + special injury) and the Florida LLC Act statutory language in effect.</w:t>
            </w:r>
          </w:p>
        </w:tc>
        <w:tc>
          <w:tcPr>
            <w:tcW w:w="3410" w:type="dxa"/>
          </w:tcPr>
          <w:p w14:paraId="66FBBC8A" w14:textId="0EDF9812" w:rsidR="0094571C" w:rsidRPr="0094571C" w:rsidRDefault="0094571C" w:rsidP="002E7315">
            <w:pPr>
              <w:rPr>
                <w:rFonts w:ascii="Times New Roman" w:hAnsi="Times New Roman" w:cs="Times New Roman"/>
              </w:rPr>
            </w:pPr>
            <w:r w:rsidRPr="0094571C">
              <w:rPr>
                <w:rFonts w:ascii="Times New Roman" w:hAnsi="Times New Roman" w:cs="Times New Roman"/>
              </w:rPr>
              <w:t>4th DCA reversed: (1) Equity dilution = unique harm to Aldo (special injury, direct claim). (2) Operating agreement duty of good faith = contractual basis for direct standing. Court also held trial court erred in bifurcating claims because overlapping facts entitled Aldo to a jury under Florida Constitution. Direct standing allowed.</w:t>
            </w:r>
          </w:p>
        </w:tc>
        <w:tc>
          <w:tcPr>
            <w:tcW w:w="1800" w:type="dxa"/>
          </w:tcPr>
          <w:p w14:paraId="6776529C" w14:textId="77777777" w:rsidR="0094571C" w:rsidRPr="0094571C" w:rsidRDefault="0094571C" w:rsidP="0094571C">
            <w:pPr>
              <w:rPr>
                <w:rFonts w:ascii="Times New Roman" w:hAnsi="Times New Roman" w:cs="Times New Roman"/>
                <w:b/>
                <w:bCs/>
              </w:rPr>
            </w:pPr>
            <w:r w:rsidRPr="0094571C">
              <w:rPr>
                <w:rFonts w:ascii="Times New Roman" w:hAnsi="Times New Roman" w:cs="Times New Roman"/>
                <w:b/>
                <w:bCs/>
              </w:rPr>
              <w:t>Fla. Stat. § 605.0801</w:t>
            </w:r>
          </w:p>
          <w:p w14:paraId="040E89E1" w14:textId="0512686E" w:rsidR="0094571C" w:rsidRPr="0094571C" w:rsidRDefault="0094571C" w:rsidP="002E7315">
            <w:pPr>
              <w:rPr>
                <w:rFonts w:ascii="Times New Roman" w:hAnsi="Times New Roman" w:cs="Times New Roman"/>
              </w:rPr>
            </w:pPr>
            <w:r>
              <w:rPr>
                <w:rFonts w:ascii="Times New Roman" w:hAnsi="Times New Roman" w:cs="Times New Roman"/>
              </w:rPr>
              <w:t xml:space="preserve">cited but Court uses </w:t>
            </w:r>
            <w:r w:rsidRPr="0094571C">
              <w:rPr>
                <w:rFonts w:ascii="Times New Roman" w:hAnsi="Times New Roman" w:cs="Times New Roman"/>
                <w:i/>
                <w:iCs/>
              </w:rPr>
              <w:t>Strazulla</w:t>
            </w:r>
            <w:r>
              <w:rPr>
                <w:rFonts w:ascii="Times New Roman" w:hAnsi="Times New Roman" w:cs="Times New Roman"/>
              </w:rPr>
              <w:t xml:space="preserve"> and </w:t>
            </w:r>
            <w:r w:rsidRPr="0094571C">
              <w:rPr>
                <w:rFonts w:ascii="Times New Roman" w:hAnsi="Times New Roman" w:cs="Times New Roman"/>
                <w:i/>
                <w:iCs/>
              </w:rPr>
              <w:t>Dinuro</w:t>
            </w:r>
            <w:r>
              <w:rPr>
                <w:rFonts w:ascii="Times New Roman" w:hAnsi="Times New Roman" w:cs="Times New Roman"/>
              </w:rPr>
              <w:t xml:space="preserve"> to interpret whether there was standing. </w:t>
            </w:r>
          </w:p>
        </w:tc>
      </w:tr>
      <w:tr w:rsidR="0094571C" w:rsidRPr="0094571C" w14:paraId="7D7F817B" w14:textId="3CCC322A" w:rsidTr="007670E4">
        <w:tc>
          <w:tcPr>
            <w:tcW w:w="2077" w:type="dxa"/>
          </w:tcPr>
          <w:p w14:paraId="2B0D05F5" w14:textId="77777777" w:rsidR="0094571C" w:rsidRPr="0094571C" w:rsidRDefault="0094571C" w:rsidP="002E7315">
            <w:pPr>
              <w:rPr>
                <w:rFonts w:ascii="Times New Roman" w:hAnsi="Times New Roman" w:cs="Times New Roman"/>
              </w:rPr>
            </w:pPr>
            <w:r w:rsidRPr="0094571C">
              <w:rPr>
                <w:rFonts w:ascii="Times New Roman" w:hAnsi="Times New Roman" w:cs="Times New Roman"/>
                <w:i/>
                <w:iCs/>
              </w:rPr>
              <w:lastRenderedPageBreak/>
              <w:t>Snyder v. HMS Technologies</w:t>
            </w:r>
            <w:r w:rsidRPr="0094571C">
              <w:rPr>
                <w:rFonts w:ascii="Times New Roman" w:hAnsi="Times New Roman" w:cs="Times New Roman"/>
              </w:rPr>
              <w:t>, Inc., 2024 WL 493086 (M.D. Fla. Feb. 8, 2024)</w:t>
            </w:r>
          </w:p>
        </w:tc>
        <w:tc>
          <w:tcPr>
            <w:tcW w:w="1338" w:type="dxa"/>
          </w:tcPr>
          <w:p w14:paraId="2DAA5DE0" w14:textId="77777777" w:rsidR="0094571C" w:rsidRPr="0094571C" w:rsidRDefault="0094571C" w:rsidP="002E7315">
            <w:pPr>
              <w:rPr>
                <w:rFonts w:ascii="Times New Roman" w:hAnsi="Times New Roman" w:cs="Times New Roman"/>
              </w:rPr>
            </w:pPr>
            <w:r w:rsidRPr="0094571C">
              <w:rPr>
                <w:rFonts w:ascii="Times New Roman" w:hAnsi="Times New Roman" w:cs="Times New Roman"/>
              </w:rPr>
              <w:t>2024 / Corporation</w:t>
            </w:r>
          </w:p>
        </w:tc>
        <w:tc>
          <w:tcPr>
            <w:tcW w:w="4645" w:type="dxa"/>
          </w:tcPr>
          <w:p w14:paraId="7BE013FE" w14:textId="6B4A9DDA" w:rsidR="0094571C" w:rsidRPr="0094571C" w:rsidRDefault="0094571C" w:rsidP="002E7315">
            <w:pPr>
              <w:rPr>
                <w:rFonts w:ascii="Times New Roman" w:hAnsi="Times New Roman" w:cs="Times New Roman"/>
              </w:rPr>
            </w:pPr>
            <w:r w:rsidRPr="0094571C">
              <w:rPr>
                <w:rFonts w:ascii="Times New Roman" w:hAnsi="Times New Roman" w:cs="Times New Roman"/>
              </w:rPr>
              <w:t>Snyder claimed loss of wages and retaliation based on the loss of contracts by the Corporation. Filed claim as a direct action.</w:t>
            </w:r>
          </w:p>
        </w:tc>
        <w:tc>
          <w:tcPr>
            <w:tcW w:w="2025" w:type="dxa"/>
          </w:tcPr>
          <w:p w14:paraId="5E6BEB43" w14:textId="77777777" w:rsidR="0094571C" w:rsidRPr="0094571C" w:rsidRDefault="0094571C" w:rsidP="002E7315">
            <w:pPr>
              <w:rPr>
                <w:rFonts w:ascii="Times New Roman" w:hAnsi="Times New Roman" w:cs="Times New Roman"/>
              </w:rPr>
            </w:pPr>
            <w:r w:rsidRPr="0094571C">
              <w:rPr>
                <w:rFonts w:ascii="Times New Roman" w:hAnsi="Times New Roman" w:cs="Times New Roman"/>
                <w:i/>
                <w:iCs/>
              </w:rPr>
              <w:t>Dinuro</w:t>
            </w:r>
            <w:r w:rsidRPr="0094571C">
              <w:rPr>
                <w:rFonts w:ascii="Times New Roman" w:hAnsi="Times New Roman" w:cs="Times New Roman"/>
              </w:rPr>
              <w:t xml:space="preserve"> test.</w:t>
            </w:r>
          </w:p>
        </w:tc>
        <w:tc>
          <w:tcPr>
            <w:tcW w:w="3410" w:type="dxa"/>
          </w:tcPr>
          <w:p w14:paraId="6D2D4A12" w14:textId="59A7052A" w:rsidR="0094571C" w:rsidRPr="0094571C" w:rsidRDefault="0094571C" w:rsidP="002E7315">
            <w:pPr>
              <w:rPr>
                <w:rFonts w:ascii="Times New Roman" w:hAnsi="Times New Roman" w:cs="Times New Roman"/>
              </w:rPr>
            </w:pPr>
            <w:r w:rsidRPr="0094571C">
              <w:rPr>
                <w:rFonts w:ascii="Times New Roman" w:hAnsi="Times New Roman" w:cs="Times New Roman"/>
              </w:rPr>
              <w:t>Court found dilution injury derivative, as it harmed all shareholders proportionately and all of Plaintiff’s alleged damages flowed from the damages to the entity. No special injury. Direct standing denied.</w:t>
            </w:r>
          </w:p>
        </w:tc>
        <w:tc>
          <w:tcPr>
            <w:tcW w:w="1800" w:type="dxa"/>
          </w:tcPr>
          <w:p w14:paraId="00AD3C4B" w14:textId="6CF68E5F" w:rsidR="0094571C" w:rsidRPr="0094571C" w:rsidRDefault="0094571C" w:rsidP="002E7315">
            <w:pPr>
              <w:rPr>
                <w:rFonts w:ascii="Times New Roman" w:hAnsi="Times New Roman" w:cs="Times New Roman"/>
              </w:rPr>
            </w:pPr>
            <w:r>
              <w:rPr>
                <w:rFonts w:ascii="Times New Roman" w:hAnsi="Times New Roman" w:cs="Times New Roman"/>
              </w:rPr>
              <w:t>No.</w:t>
            </w:r>
          </w:p>
        </w:tc>
      </w:tr>
      <w:tr w:rsidR="0094571C" w:rsidRPr="0094571C" w14:paraId="3BA4DE79" w14:textId="10EEC438" w:rsidTr="007670E4">
        <w:tc>
          <w:tcPr>
            <w:tcW w:w="2077" w:type="dxa"/>
          </w:tcPr>
          <w:p w14:paraId="1F974FEF" w14:textId="77777777" w:rsidR="0094571C" w:rsidRPr="0094571C" w:rsidRDefault="0094571C" w:rsidP="002E7315">
            <w:pPr>
              <w:rPr>
                <w:rFonts w:ascii="Times New Roman" w:hAnsi="Times New Roman" w:cs="Times New Roman"/>
              </w:rPr>
            </w:pPr>
            <w:r w:rsidRPr="0094571C">
              <w:rPr>
                <w:rFonts w:ascii="Times New Roman" w:hAnsi="Times New Roman" w:cs="Times New Roman"/>
                <w:i/>
                <w:iCs/>
              </w:rPr>
              <w:t>United States ex rel. CLJ, LLC v. Halickman</w:t>
            </w:r>
            <w:r w:rsidRPr="0094571C">
              <w:rPr>
                <w:rFonts w:ascii="Times New Roman" w:hAnsi="Times New Roman" w:cs="Times New Roman"/>
              </w:rPr>
              <w:t>, 2024 WL 89559 (S.D. Fla. Feb. 29, 2024)</w:t>
            </w:r>
          </w:p>
        </w:tc>
        <w:tc>
          <w:tcPr>
            <w:tcW w:w="1338" w:type="dxa"/>
          </w:tcPr>
          <w:p w14:paraId="0AE24E3B" w14:textId="77777777" w:rsidR="0094571C" w:rsidRPr="0094571C" w:rsidRDefault="0094571C" w:rsidP="002E7315">
            <w:pPr>
              <w:rPr>
                <w:rFonts w:ascii="Times New Roman" w:hAnsi="Times New Roman" w:cs="Times New Roman"/>
              </w:rPr>
            </w:pPr>
            <w:r w:rsidRPr="0094571C">
              <w:rPr>
                <w:rFonts w:ascii="Times New Roman" w:hAnsi="Times New Roman" w:cs="Times New Roman"/>
              </w:rPr>
              <w:t>2024 / LLC</w:t>
            </w:r>
          </w:p>
        </w:tc>
        <w:tc>
          <w:tcPr>
            <w:tcW w:w="4645" w:type="dxa"/>
          </w:tcPr>
          <w:p w14:paraId="26DFEF13" w14:textId="29FFF059" w:rsidR="0094571C" w:rsidRPr="0094571C" w:rsidRDefault="0094571C" w:rsidP="002E7315">
            <w:pPr>
              <w:rPr>
                <w:rFonts w:ascii="Times New Roman" w:hAnsi="Times New Roman" w:cs="Times New Roman"/>
              </w:rPr>
            </w:pPr>
            <w:r w:rsidRPr="0094571C">
              <w:rPr>
                <w:rFonts w:ascii="Times New Roman" w:hAnsi="Times New Roman" w:cs="Times New Roman"/>
              </w:rPr>
              <w:t>LLC member attempted to bring third party claim regarding alleged fraud harming entity.</w:t>
            </w:r>
          </w:p>
        </w:tc>
        <w:tc>
          <w:tcPr>
            <w:tcW w:w="2025" w:type="dxa"/>
          </w:tcPr>
          <w:p w14:paraId="77E363DF" w14:textId="77777777" w:rsidR="0094571C" w:rsidRPr="0094571C" w:rsidRDefault="0094571C" w:rsidP="002E7315">
            <w:pPr>
              <w:rPr>
                <w:rFonts w:ascii="Times New Roman" w:hAnsi="Times New Roman" w:cs="Times New Roman"/>
              </w:rPr>
            </w:pPr>
            <w:r w:rsidRPr="0094571C">
              <w:rPr>
                <w:rFonts w:ascii="Times New Roman" w:hAnsi="Times New Roman" w:cs="Times New Roman"/>
                <w:i/>
                <w:iCs/>
              </w:rPr>
              <w:t>Dinuro</w:t>
            </w:r>
            <w:r w:rsidRPr="0094571C">
              <w:rPr>
                <w:rFonts w:ascii="Times New Roman" w:hAnsi="Times New Roman" w:cs="Times New Roman"/>
              </w:rPr>
              <w:t xml:space="preserve"> cited.</w:t>
            </w:r>
          </w:p>
        </w:tc>
        <w:tc>
          <w:tcPr>
            <w:tcW w:w="3410" w:type="dxa"/>
          </w:tcPr>
          <w:p w14:paraId="697B5626" w14:textId="33E1E8AB" w:rsidR="0094571C" w:rsidRPr="0094571C" w:rsidRDefault="0094571C" w:rsidP="002E7315">
            <w:pPr>
              <w:rPr>
                <w:rFonts w:ascii="Times New Roman" w:hAnsi="Times New Roman" w:cs="Times New Roman"/>
              </w:rPr>
            </w:pPr>
            <w:r>
              <w:rPr>
                <w:rFonts w:ascii="Times New Roman" w:hAnsi="Times New Roman" w:cs="Times New Roman"/>
              </w:rPr>
              <w:t xml:space="preserve">Court held that </w:t>
            </w:r>
            <w:r w:rsidRPr="0094571C">
              <w:rPr>
                <w:rFonts w:ascii="Times New Roman" w:hAnsi="Times New Roman" w:cs="Times New Roman"/>
                <w:i/>
                <w:iCs/>
              </w:rPr>
              <w:t>Dinuro</w:t>
            </w:r>
            <w:r>
              <w:rPr>
                <w:rFonts w:ascii="Times New Roman" w:hAnsi="Times New Roman" w:cs="Times New Roman"/>
              </w:rPr>
              <w:t xml:space="preserve"> was the controlling test for determining whether claims should be found directly or indirectly.</w:t>
            </w:r>
          </w:p>
        </w:tc>
        <w:tc>
          <w:tcPr>
            <w:tcW w:w="1800" w:type="dxa"/>
          </w:tcPr>
          <w:p w14:paraId="32EA49F3" w14:textId="22E8B684" w:rsidR="0094571C" w:rsidRPr="0094571C" w:rsidRDefault="0094571C" w:rsidP="002E7315">
            <w:pPr>
              <w:rPr>
                <w:rFonts w:ascii="Times New Roman" w:hAnsi="Times New Roman" w:cs="Times New Roman"/>
              </w:rPr>
            </w:pPr>
            <w:r>
              <w:rPr>
                <w:rFonts w:ascii="Times New Roman" w:hAnsi="Times New Roman" w:cs="Times New Roman"/>
              </w:rPr>
              <w:t>No.</w:t>
            </w:r>
          </w:p>
        </w:tc>
      </w:tr>
      <w:tr w:rsidR="0094571C" w:rsidRPr="0094571C" w14:paraId="4A02744C" w14:textId="6123B7B2" w:rsidTr="007670E4">
        <w:tc>
          <w:tcPr>
            <w:tcW w:w="2077" w:type="dxa"/>
          </w:tcPr>
          <w:p w14:paraId="3EF7ACA9" w14:textId="77777777" w:rsidR="0094571C" w:rsidRPr="0094571C" w:rsidRDefault="0094571C" w:rsidP="002E7315">
            <w:pPr>
              <w:rPr>
                <w:rFonts w:ascii="Times New Roman" w:hAnsi="Times New Roman" w:cs="Times New Roman"/>
              </w:rPr>
            </w:pPr>
            <w:r w:rsidRPr="0094571C">
              <w:rPr>
                <w:rFonts w:ascii="Times New Roman" w:hAnsi="Times New Roman" w:cs="Times New Roman"/>
                <w:i/>
                <w:iCs/>
              </w:rPr>
              <w:t>Snyder v. Formerly B 3 Group, Inc.</w:t>
            </w:r>
            <w:r w:rsidRPr="0094571C">
              <w:rPr>
                <w:rFonts w:ascii="Times New Roman" w:hAnsi="Times New Roman" w:cs="Times New Roman"/>
              </w:rPr>
              <w:t>, 2024 WL 2724435 (M.D. Fla. May 28, 2024)</w:t>
            </w:r>
          </w:p>
        </w:tc>
        <w:tc>
          <w:tcPr>
            <w:tcW w:w="1338" w:type="dxa"/>
          </w:tcPr>
          <w:p w14:paraId="3EA7AE08" w14:textId="77777777" w:rsidR="0094571C" w:rsidRPr="0094571C" w:rsidRDefault="0094571C" w:rsidP="002E7315">
            <w:pPr>
              <w:rPr>
                <w:rFonts w:ascii="Times New Roman" w:hAnsi="Times New Roman" w:cs="Times New Roman"/>
              </w:rPr>
            </w:pPr>
            <w:r w:rsidRPr="0094571C">
              <w:rPr>
                <w:rFonts w:ascii="Times New Roman" w:hAnsi="Times New Roman" w:cs="Times New Roman"/>
              </w:rPr>
              <w:t>2024 / Corporation</w:t>
            </w:r>
          </w:p>
        </w:tc>
        <w:tc>
          <w:tcPr>
            <w:tcW w:w="4645" w:type="dxa"/>
          </w:tcPr>
          <w:p w14:paraId="41CC2C31" w14:textId="6E6063DC" w:rsidR="0094571C" w:rsidRPr="0094571C" w:rsidRDefault="0094571C" w:rsidP="002E7315">
            <w:pPr>
              <w:rPr>
                <w:rFonts w:ascii="Times New Roman" w:hAnsi="Times New Roman" w:cs="Times New Roman"/>
              </w:rPr>
            </w:pPr>
            <w:r w:rsidRPr="0094571C">
              <w:rPr>
                <w:rFonts w:ascii="Times New Roman" w:hAnsi="Times New Roman" w:cs="Times New Roman"/>
              </w:rPr>
              <w:t>Shareholder alleged loss of personal wealth and financial ruin which stemmed from corporation’s loss of a contract.</w:t>
            </w:r>
          </w:p>
        </w:tc>
        <w:tc>
          <w:tcPr>
            <w:tcW w:w="2025" w:type="dxa"/>
          </w:tcPr>
          <w:p w14:paraId="50C831FC" w14:textId="77777777" w:rsidR="0094571C" w:rsidRPr="0094571C" w:rsidRDefault="0094571C" w:rsidP="002E7315">
            <w:pPr>
              <w:rPr>
                <w:rFonts w:ascii="Times New Roman" w:hAnsi="Times New Roman" w:cs="Times New Roman"/>
              </w:rPr>
            </w:pPr>
            <w:r w:rsidRPr="0094571C">
              <w:rPr>
                <w:rFonts w:ascii="Times New Roman" w:hAnsi="Times New Roman" w:cs="Times New Roman"/>
                <w:i/>
                <w:iCs/>
              </w:rPr>
              <w:t>Dinuro</w:t>
            </w:r>
            <w:r w:rsidRPr="0094571C">
              <w:rPr>
                <w:rFonts w:ascii="Times New Roman" w:hAnsi="Times New Roman" w:cs="Times New Roman"/>
              </w:rPr>
              <w:t xml:space="preserve"> cited.</w:t>
            </w:r>
          </w:p>
        </w:tc>
        <w:tc>
          <w:tcPr>
            <w:tcW w:w="3410" w:type="dxa"/>
          </w:tcPr>
          <w:p w14:paraId="2B3276C0" w14:textId="4927FECB" w:rsidR="0094571C" w:rsidRPr="0094571C" w:rsidRDefault="0094571C" w:rsidP="002E7315">
            <w:pPr>
              <w:rPr>
                <w:rFonts w:ascii="Times New Roman" w:hAnsi="Times New Roman" w:cs="Times New Roman"/>
              </w:rPr>
            </w:pPr>
            <w:r w:rsidRPr="0094571C">
              <w:rPr>
                <w:rFonts w:ascii="Times New Roman" w:hAnsi="Times New Roman" w:cs="Times New Roman"/>
              </w:rPr>
              <w:t xml:space="preserve">Court found harms derivative because all the alleged damages flowed directly from harm to the corporation. </w:t>
            </w:r>
            <w:r>
              <w:rPr>
                <w:rFonts w:ascii="Times New Roman" w:hAnsi="Times New Roman" w:cs="Times New Roman"/>
              </w:rPr>
              <w:t>D</w:t>
            </w:r>
            <w:r w:rsidRPr="0094571C">
              <w:rPr>
                <w:rFonts w:ascii="Times New Roman" w:hAnsi="Times New Roman" w:cs="Times New Roman"/>
              </w:rPr>
              <w:t>irect standing denied.</w:t>
            </w:r>
          </w:p>
        </w:tc>
        <w:tc>
          <w:tcPr>
            <w:tcW w:w="1800" w:type="dxa"/>
          </w:tcPr>
          <w:p w14:paraId="324B03A4" w14:textId="4E9FBFCE" w:rsidR="0094571C" w:rsidRPr="0094571C" w:rsidRDefault="0094571C" w:rsidP="002E7315">
            <w:pPr>
              <w:rPr>
                <w:rFonts w:ascii="Times New Roman" w:hAnsi="Times New Roman" w:cs="Times New Roman"/>
              </w:rPr>
            </w:pPr>
            <w:r>
              <w:rPr>
                <w:rFonts w:ascii="Times New Roman" w:hAnsi="Times New Roman" w:cs="Times New Roman"/>
              </w:rPr>
              <w:t>No.</w:t>
            </w:r>
          </w:p>
        </w:tc>
      </w:tr>
      <w:tr w:rsidR="0094571C" w:rsidRPr="0094571C" w14:paraId="6181E8D6" w14:textId="02D76FE4" w:rsidTr="007670E4">
        <w:tc>
          <w:tcPr>
            <w:tcW w:w="2077" w:type="dxa"/>
          </w:tcPr>
          <w:p w14:paraId="5B346B90" w14:textId="77777777" w:rsidR="0094571C" w:rsidRPr="0094571C" w:rsidRDefault="0094571C" w:rsidP="002E7315">
            <w:pPr>
              <w:rPr>
                <w:rFonts w:ascii="Times New Roman" w:hAnsi="Times New Roman" w:cs="Times New Roman"/>
              </w:rPr>
            </w:pPr>
            <w:r w:rsidRPr="0094571C">
              <w:rPr>
                <w:rFonts w:ascii="Times New Roman" w:hAnsi="Times New Roman" w:cs="Times New Roman"/>
                <w:i/>
                <w:iCs/>
              </w:rPr>
              <w:t>In re Sticky Holsters, Inc.</w:t>
            </w:r>
            <w:r w:rsidRPr="0094571C">
              <w:rPr>
                <w:rFonts w:ascii="Times New Roman" w:hAnsi="Times New Roman" w:cs="Times New Roman"/>
              </w:rPr>
              <w:t>, 2024 WL 3359368 (M.D. Fla. July 10, 2024)</w:t>
            </w:r>
          </w:p>
        </w:tc>
        <w:tc>
          <w:tcPr>
            <w:tcW w:w="1338" w:type="dxa"/>
          </w:tcPr>
          <w:p w14:paraId="050F58FE" w14:textId="77777777" w:rsidR="0094571C" w:rsidRPr="0094571C" w:rsidRDefault="0094571C" w:rsidP="002E7315">
            <w:pPr>
              <w:rPr>
                <w:rFonts w:ascii="Times New Roman" w:hAnsi="Times New Roman" w:cs="Times New Roman"/>
              </w:rPr>
            </w:pPr>
            <w:r w:rsidRPr="0094571C">
              <w:rPr>
                <w:rFonts w:ascii="Times New Roman" w:hAnsi="Times New Roman" w:cs="Times New Roman"/>
              </w:rPr>
              <w:t>2024 / Corporation</w:t>
            </w:r>
          </w:p>
        </w:tc>
        <w:tc>
          <w:tcPr>
            <w:tcW w:w="4645" w:type="dxa"/>
          </w:tcPr>
          <w:p w14:paraId="38D5CE68" w14:textId="77777777" w:rsidR="0094571C" w:rsidRPr="0094571C" w:rsidRDefault="0094571C" w:rsidP="002E7315">
            <w:pPr>
              <w:rPr>
                <w:rFonts w:ascii="Times New Roman" w:hAnsi="Times New Roman" w:cs="Times New Roman"/>
              </w:rPr>
            </w:pPr>
            <w:r w:rsidRPr="0094571C">
              <w:rPr>
                <w:rFonts w:ascii="Times New Roman" w:hAnsi="Times New Roman" w:cs="Times New Roman"/>
              </w:rPr>
              <w:t>Shareholder claimed others diverted company compensation and usurped opportunities.</w:t>
            </w:r>
          </w:p>
        </w:tc>
        <w:tc>
          <w:tcPr>
            <w:tcW w:w="2025" w:type="dxa"/>
          </w:tcPr>
          <w:p w14:paraId="7D5C4637" w14:textId="36CD4D42" w:rsidR="0094571C" w:rsidRPr="0094571C" w:rsidRDefault="0094571C" w:rsidP="002E7315">
            <w:pPr>
              <w:rPr>
                <w:rFonts w:ascii="Times New Roman" w:hAnsi="Times New Roman" w:cs="Times New Roman"/>
              </w:rPr>
            </w:pPr>
            <w:r w:rsidRPr="0094571C">
              <w:rPr>
                <w:rFonts w:ascii="Times New Roman" w:hAnsi="Times New Roman" w:cs="Times New Roman"/>
                <w:i/>
                <w:iCs/>
              </w:rPr>
              <w:t>Dinuro</w:t>
            </w:r>
            <w:r w:rsidRPr="0094571C">
              <w:rPr>
                <w:rFonts w:ascii="Times New Roman" w:hAnsi="Times New Roman" w:cs="Times New Roman"/>
              </w:rPr>
              <w:t xml:space="preserve"> test applied.</w:t>
            </w:r>
          </w:p>
        </w:tc>
        <w:tc>
          <w:tcPr>
            <w:tcW w:w="3410" w:type="dxa"/>
          </w:tcPr>
          <w:p w14:paraId="57FEB566" w14:textId="3D17F53D" w:rsidR="0094571C" w:rsidRPr="0094571C" w:rsidRDefault="0094571C" w:rsidP="002E7315">
            <w:pPr>
              <w:rPr>
                <w:rFonts w:ascii="Times New Roman" w:hAnsi="Times New Roman" w:cs="Times New Roman"/>
              </w:rPr>
            </w:pPr>
            <w:r w:rsidRPr="0094571C">
              <w:rPr>
                <w:rFonts w:ascii="Times New Roman" w:hAnsi="Times New Roman" w:cs="Times New Roman"/>
              </w:rPr>
              <w:t>Court stated that for Plaintiff to recover, corporation would have to recover first thus the alleged damaged would be derivative. Direct standing denied.</w:t>
            </w:r>
          </w:p>
        </w:tc>
        <w:tc>
          <w:tcPr>
            <w:tcW w:w="1800" w:type="dxa"/>
          </w:tcPr>
          <w:p w14:paraId="1DEC31FB" w14:textId="1BBEFA74" w:rsidR="0094571C" w:rsidRPr="0094571C" w:rsidRDefault="0094571C" w:rsidP="002E7315">
            <w:pPr>
              <w:rPr>
                <w:rFonts w:ascii="Times New Roman" w:hAnsi="Times New Roman" w:cs="Times New Roman"/>
              </w:rPr>
            </w:pPr>
            <w:r>
              <w:rPr>
                <w:rFonts w:ascii="Times New Roman" w:hAnsi="Times New Roman" w:cs="Times New Roman"/>
              </w:rPr>
              <w:t>No.</w:t>
            </w:r>
          </w:p>
        </w:tc>
      </w:tr>
      <w:tr w:rsidR="0094571C" w:rsidRPr="0094571C" w14:paraId="57FEE3CD" w14:textId="09462DDA" w:rsidTr="007670E4">
        <w:tc>
          <w:tcPr>
            <w:tcW w:w="2077" w:type="dxa"/>
          </w:tcPr>
          <w:p w14:paraId="4FCE5154" w14:textId="77777777" w:rsidR="0094571C" w:rsidRPr="0094571C" w:rsidRDefault="0094571C" w:rsidP="002E7315">
            <w:pPr>
              <w:rPr>
                <w:rFonts w:ascii="Times New Roman" w:hAnsi="Times New Roman" w:cs="Times New Roman"/>
              </w:rPr>
            </w:pPr>
            <w:r w:rsidRPr="0094571C">
              <w:rPr>
                <w:rFonts w:ascii="Times New Roman" w:hAnsi="Times New Roman" w:cs="Times New Roman"/>
                <w:i/>
                <w:iCs/>
              </w:rPr>
              <w:t>Schmitz v. Schmitz</w:t>
            </w:r>
            <w:r w:rsidRPr="0094571C">
              <w:rPr>
                <w:rFonts w:ascii="Times New Roman" w:hAnsi="Times New Roman" w:cs="Times New Roman"/>
              </w:rPr>
              <w:t>, 401 So.3d 416 (Fla. 3d DCA 2024)</w:t>
            </w:r>
          </w:p>
        </w:tc>
        <w:tc>
          <w:tcPr>
            <w:tcW w:w="1338" w:type="dxa"/>
          </w:tcPr>
          <w:p w14:paraId="3912D976" w14:textId="77777777" w:rsidR="0094571C" w:rsidRPr="0094571C" w:rsidRDefault="0094571C" w:rsidP="002E7315">
            <w:pPr>
              <w:rPr>
                <w:rFonts w:ascii="Times New Roman" w:hAnsi="Times New Roman" w:cs="Times New Roman"/>
              </w:rPr>
            </w:pPr>
            <w:r w:rsidRPr="0094571C">
              <w:rPr>
                <w:rFonts w:ascii="Times New Roman" w:hAnsi="Times New Roman" w:cs="Times New Roman"/>
              </w:rPr>
              <w:t>2024 / Corporation (family-held)</w:t>
            </w:r>
          </w:p>
        </w:tc>
        <w:tc>
          <w:tcPr>
            <w:tcW w:w="4645" w:type="dxa"/>
          </w:tcPr>
          <w:p w14:paraId="232D4475" w14:textId="77777777" w:rsidR="0094571C" w:rsidRPr="0094571C" w:rsidRDefault="0094571C" w:rsidP="002E7315">
            <w:pPr>
              <w:rPr>
                <w:rFonts w:ascii="Times New Roman" w:hAnsi="Times New Roman" w:cs="Times New Roman"/>
              </w:rPr>
            </w:pPr>
            <w:r w:rsidRPr="0094571C">
              <w:rPr>
                <w:rFonts w:ascii="Times New Roman" w:hAnsi="Times New Roman" w:cs="Times New Roman"/>
              </w:rPr>
              <w:t>Corporation formed by three brothers with bylaws guaranteeing equal pay/benefits for them and their widows. After two brothers died, widows alleged surviving brother paid himself excess benefits and excluded them.</w:t>
            </w:r>
          </w:p>
        </w:tc>
        <w:tc>
          <w:tcPr>
            <w:tcW w:w="2025" w:type="dxa"/>
          </w:tcPr>
          <w:p w14:paraId="1AA80603" w14:textId="77777777" w:rsidR="0094571C" w:rsidRPr="0094571C" w:rsidRDefault="0094571C" w:rsidP="002E7315">
            <w:pPr>
              <w:rPr>
                <w:rFonts w:ascii="Times New Roman" w:hAnsi="Times New Roman" w:cs="Times New Roman"/>
              </w:rPr>
            </w:pPr>
            <w:r w:rsidRPr="0094571C">
              <w:rPr>
                <w:rFonts w:ascii="Times New Roman" w:hAnsi="Times New Roman" w:cs="Times New Roman"/>
                <w:i/>
                <w:iCs/>
              </w:rPr>
              <w:t>Dinuro</w:t>
            </w:r>
            <w:r w:rsidRPr="0094571C">
              <w:rPr>
                <w:rFonts w:ascii="Times New Roman" w:hAnsi="Times New Roman" w:cs="Times New Roman"/>
              </w:rPr>
              <w:t xml:space="preserve"> acknowledged but court relied on statutory duty exception (§ 607.0750) and bylaws as contract.</w:t>
            </w:r>
          </w:p>
        </w:tc>
        <w:tc>
          <w:tcPr>
            <w:tcW w:w="3410" w:type="dxa"/>
          </w:tcPr>
          <w:p w14:paraId="3AFB5BD6" w14:textId="521AC537" w:rsidR="0094571C" w:rsidRPr="0094571C" w:rsidRDefault="0094571C" w:rsidP="002E7315">
            <w:pPr>
              <w:rPr>
                <w:rFonts w:ascii="Times New Roman" w:hAnsi="Times New Roman" w:cs="Times New Roman"/>
              </w:rPr>
            </w:pPr>
            <w:r w:rsidRPr="0094571C">
              <w:rPr>
                <w:rFonts w:ascii="Times New Roman" w:hAnsi="Times New Roman" w:cs="Times New Roman"/>
              </w:rPr>
              <w:t>Court found bylaws created enforceable individual rights which made the damages specialized to each of the widows. Direct standing granted.</w:t>
            </w:r>
          </w:p>
        </w:tc>
        <w:tc>
          <w:tcPr>
            <w:tcW w:w="1800" w:type="dxa"/>
          </w:tcPr>
          <w:p w14:paraId="6459A922" w14:textId="007FD5C8" w:rsidR="0094571C" w:rsidRPr="0094571C" w:rsidRDefault="0094571C" w:rsidP="002E7315">
            <w:pPr>
              <w:rPr>
                <w:rFonts w:ascii="Times New Roman" w:hAnsi="Times New Roman" w:cs="Times New Roman"/>
              </w:rPr>
            </w:pPr>
            <w:r>
              <w:rPr>
                <w:rFonts w:ascii="Times New Roman" w:hAnsi="Times New Roman" w:cs="Times New Roman"/>
              </w:rPr>
              <w:t>No.</w:t>
            </w:r>
          </w:p>
        </w:tc>
      </w:tr>
      <w:tr w:rsidR="0094571C" w:rsidRPr="0094571C" w14:paraId="321761D8" w14:textId="5EBA6C3E" w:rsidTr="007670E4">
        <w:tc>
          <w:tcPr>
            <w:tcW w:w="2077" w:type="dxa"/>
          </w:tcPr>
          <w:p w14:paraId="68761F1D" w14:textId="77777777" w:rsidR="0094571C" w:rsidRPr="0094571C" w:rsidRDefault="0094571C" w:rsidP="002E7315">
            <w:pPr>
              <w:rPr>
                <w:rFonts w:ascii="Times New Roman" w:hAnsi="Times New Roman" w:cs="Times New Roman"/>
              </w:rPr>
            </w:pPr>
            <w:r w:rsidRPr="0094571C">
              <w:rPr>
                <w:rFonts w:ascii="Times New Roman" w:hAnsi="Times New Roman" w:cs="Times New Roman"/>
                <w:i/>
                <w:iCs/>
              </w:rPr>
              <w:t>Chengari v. Banyan Cay Resort Fund</w:t>
            </w:r>
            <w:r w:rsidRPr="0094571C">
              <w:rPr>
                <w:rFonts w:ascii="Times New Roman" w:hAnsi="Times New Roman" w:cs="Times New Roman"/>
              </w:rPr>
              <w:t>, LLC, 2024 WL 5088707 (S.D. Fla. Nov. 13, 2024)</w:t>
            </w:r>
          </w:p>
        </w:tc>
        <w:tc>
          <w:tcPr>
            <w:tcW w:w="1338" w:type="dxa"/>
          </w:tcPr>
          <w:p w14:paraId="16948E1A" w14:textId="77777777" w:rsidR="0094571C" w:rsidRPr="0094571C" w:rsidRDefault="0094571C" w:rsidP="002E7315">
            <w:pPr>
              <w:rPr>
                <w:rFonts w:ascii="Times New Roman" w:hAnsi="Times New Roman" w:cs="Times New Roman"/>
              </w:rPr>
            </w:pPr>
            <w:r w:rsidRPr="0094571C">
              <w:rPr>
                <w:rFonts w:ascii="Times New Roman" w:hAnsi="Times New Roman" w:cs="Times New Roman"/>
              </w:rPr>
              <w:t>2024 / LLC</w:t>
            </w:r>
          </w:p>
        </w:tc>
        <w:tc>
          <w:tcPr>
            <w:tcW w:w="4645" w:type="dxa"/>
          </w:tcPr>
          <w:p w14:paraId="5C1C4ADE" w14:textId="77777777" w:rsidR="0094571C" w:rsidRPr="0094571C" w:rsidRDefault="0094571C" w:rsidP="002E7315">
            <w:pPr>
              <w:rPr>
                <w:rFonts w:ascii="Times New Roman" w:hAnsi="Times New Roman" w:cs="Times New Roman"/>
              </w:rPr>
            </w:pPr>
            <w:r w:rsidRPr="0094571C">
              <w:rPr>
                <w:rFonts w:ascii="Times New Roman" w:hAnsi="Times New Roman" w:cs="Times New Roman"/>
              </w:rPr>
              <w:t>LLC member sued alleging misconduct in resort investment fund that reduced overall entity value.</w:t>
            </w:r>
          </w:p>
        </w:tc>
        <w:tc>
          <w:tcPr>
            <w:tcW w:w="2025" w:type="dxa"/>
          </w:tcPr>
          <w:p w14:paraId="4471152B" w14:textId="77777777" w:rsidR="0094571C" w:rsidRPr="0094571C" w:rsidRDefault="0094571C" w:rsidP="002E7315">
            <w:pPr>
              <w:rPr>
                <w:rFonts w:ascii="Times New Roman" w:hAnsi="Times New Roman" w:cs="Times New Roman"/>
              </w:rPr>
            </w:pPr>
            <w:r w:rsidRPr="0094571C">
              <w:rPr>
                <w:rFonts w:ascii="Times New Roman" w:hAnsi="Times New Roman" w:cs="Times New Roman"/>
                <w:i/>
                <w:iCs/>
              </w:rPr>
              <w:t>Dinuro</w:t>
            </w:r>
            <w:r w:rsidRPr="0094571C">
              <w:rPr>
                <w:rFonts w:ascii="Times New Roman" w:hAnsi="Times New Roman" w:cs="Times New Roman"/>
              </w:rPr>
              <w:t xml:space="preserve"> two-prong test.</w:t>
            </w:r>
          </w:p>
        </w:tc>
        <w:tc>
          <w:tcPr>
            <w:tcW w:w="3410" w:type="dxa"/>
          </w:tcPr>
          <w:p w14:paraId="4145E963" w14:textId="29712718" w:rsidR="0094571C" w:rsidRPr="0094571C" w:rsidRDefault="0094571C" w:rsidP="002E7315">
            <w:pPr>
              <w:rPr>
                <w:rFonts w:ascii="Times New Roman" w:hAnsi="Times New Roman" w:cs="Times New Roman"/>
              </w:rPr>
            </w:pPr>
            <w:r w:rsidRPr="0094571C">
              <w:rPr>
                <w:rFonts w:ascii="Times New Roman" w:hAnsi="Times New Roman" w:cs="Times New Roman"/>
              </w:rPr>
              <w:t xml:space="preserve">Court found only derivative harm; no direct standing unless Plaintiff repleaded and showed sufficient factual content to infer application of the exceptions. </w:t>
            </w:r>
          </w:p>
        </w:tc>
        <w:tc>
          <w:tcPr>
            <w:tcW w:w="1800" w:type="dxa"/>
          </w:tcPr>
          <w:p w14:paraId="30D78022" w14:textId="5BD56332" w:rsidR="0094571C" w:rsidRPr="0094571C" w:rsidRDefault="0094571C" w:rsidP="002E7315">
            <w:pPr>
              <w:rPr>
                <w:rFonts w:ascii="Times New Roman" w:hAnsi="Times New Roman" w:cs="Times New Roman"/>
              </w:rPr>
            </w:pPr>
            <w:r>
              <w:rPr>
                <w:rFonts w:ascii="Times New Roman" w:hAnsi="Times New Roman" w:cs="Times New Roman"/>
              </w:rPr>
              <w:t>No.</w:t>
            </w:r>
          </w:p>
        </w:tc>
      </w:tr>
      <w:tr w:rsidR="0094571C" w:rsidRPr="0094571C" w14:paraId="64224B3D" w14:textId="565B6A9F" w:rsidTr="007670E4">
        <w:tc>
          <w:tcPr>
            <w:tcW w:w="2077" w:type="dxa"/>
          </w:tcPr>
          <w:p w14:paraId="46115E01" w14:textId="77777777" w:rsidR="0094571C" w:rsidRPr="0094571C" w:rsidRDefault="0094571C" w:rsidP="002E7315">
            <w:pPr>
              <w:rPr>
                <w:rFonts w:ascii="Times New Roman" w:hAnsi="Times New Roman" w:cs="Times New Roman"/>
              </w:rPr>
            </w:pPr>
            <w:r w:rsidRPr="0094571C">
              <w:rPr>
                <w:rFonts w:ascii="Times New Roman" w:hAnsi="Times New Roman" w:cs="Times New Roman"/>
                <w:i/>
                <w:iCs/>
              </w:rPr>
              <w:t>Benes v. De La Aguilera</w:t>
            </w:r>
            <w:r w:rsidRPr="0094571C">
              <w:rPr>
                <w:rFonts w:ascii="Times New Roman" w:hAnsi="Times New Roman" w:cs="Times New Roman"/>
              </w:rPr>
              <w:t>, 2023-019611-CA-01 (11th Cir. Ct. Dec. 27, 2023), aff’d 2025 WL 322291 (Fla. 3d DCA 2025)</w:t>
            </w:r>
          </w:p>
        </w:tc>
        <w:tc>
          <w:tcPr>
            <w:tcW w:w="1338" w:type="dxa"/>
          </w:tcPr>
          <w:p w14:paraId="23503198" w14:textId="77777777" w:rsidR="0094571C" w:rsidRPr="0094571C" w:rsidRDefault="0094571C" w:rsidP="002E7315">
            <w:pPr>
              <w:rPr>
                <w:rFonts w:ascii="Times New Roman" w:hAnsi="Times New Roman" w:cs="Times New Roman"/>
              </w:rPr>
            </w:pPr>
            <w:r w:rsidRPr="0094571C">
              <w:rPr>
                <w:rFonts w:ascii="Times New Roman" w:hAnsi="Times New Roman" w:cs="Times New Roman"/>
              </w:rPr>
              <w:t>2023–25 / Bank (Corporation)</w:t>
            </w:r>
          </w:p>
        </w:tc>
        <w:tc>
          <w:tcPr>
            <w:tcW w:w="4645" w:type="dxa"/>
          </w:tcPr>
          <w:p w14:paraId="568B56E7" w14:textId="77777777" w:rsidR="0094571C" w:rsidRPr="0094571C" w:rsidRDefault="0094571C" w:rsidP="002E7315">
            <w:pPr>
              <w:rPr>
                <w:rFonts w:ascii="Times New Roman" w:hAnsi="Times New Roman" w:cs="Times New Roman"/>
              </w:rPr>
            </w:pPr>
            <w:r w:rsidRPr="0094571C">
              <w:rPr>
                <w:rFonts w:ascii="Times New Roman" w:hAnsi="Times New Roman" w:cs="Times New Roman"/>
              </w:rPr>
              <w:t>U.S. Century Bank recapitalization via share exchange converted preferred stock into common stock. Existing common shareholders alleged dilution and violation of statutory voting group rights under FBCA § 607.1004. They argued they were entitled to class vote protection.</w:t>
            </w:r>
          </w:p>
        </w:tc>
        <w:tc>
          <w:tcPr>
            <w:tcW w:w="2025" w:type="dxa"/>
          </w:tcPr>
          <w:p w14:paraId="3A91CF15" w14:textId="5D78571C" w:rsidR="0094571C" w:rsidRPr="0094571C" w:rsidRDefault="007670E4" w:rsidP="002E7315">
            <w:pPr>
              <w:rPr>
                <w:rFonts w:ascii="Times New Roman" w:hAnsi="Times New Roman" w:cs="Times New Roman"/>
              </w:rPr>
            </w:pPr>
            <w:r w:rsidRPr="007670E4">
              <w:rPr>
                <w:rFonts w:ascii="Times New Roman" w:hAnsi="Times New Roman" w:cs="Times New Roman"/>
                <w:i/>
                <w:iCs/>
              </w:rPr>
              <w:t>Dinuro</w:t>
            </w:r>
            <w:r>
              <w:rPr>
                <w:rFonts w:ascii="Times New Roman" w:hAnsi="Times New Roman" w:cs="Times New Roman"/>
              </w:rPr>
              <w:t xml:space="preserve"> cited. </w:t>
            </w:r>
            <w:r w:rsidR="0094571C" w:rsidRPr="0094571C">
              <w:rPr>
                <w:rFonts w:ascii="Times New Roman" w:hAnsi="Times New Roman" w:cs="Times New Roman"/>
              </w:rPr>
              <w:t>Plaintiffs argued statutory duty exception.</w:t>
            </w:r>
          </w:p>
        </w:tc>
        <w:tc>
          <w:tcPr>
            <w:tcW w:w="3410" w:type="dxa"/>
          </w:tcPr>
          <w:p w14:paraId="06C23971" w14:textId="431D67C1" w:rsidR="0094571C" w:rsidRPr="0094571C" w:rsidRDefault="0094571C" w:rsidP="002E73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94571C">
              <w:rPr>
                <w:rFonts w:ascii="Times New Roman" w:hAnsi="Times New Roman" w:cs="Times New Roman"/>
              </w:rPr>
              <w:t xml:space="preserve">Circuit court dismissed without substantive analysis of statutory claim. </w:t>
            </w:r>
            <w:r w:rsidRPr="0094571C">
              <w:rPr>
                <w:rFonts w:ascii="Times New Roman" w:hAnsi="Times New Roman" w:cs="Times New Roman"/>
                <w:color w:val="000000"/>
              </w:rPr>
              <w:t>Plaintiffs failed to demonstrate</w:t>
            </w:r>
            <w:r>
              <w:rPr>
                <w:rFonts w:ascii="Times New Roman" w:hAnsi="Times New Roman" w:cs="Times New Roman"/>
                <w:color w:val="000000"/>
              </w:rPr>
              <w:t xml:space="preserve"> </w:t>
            </w:r>
            <w:r w:rsidRPr="0094571C">
              <w:rPr>
                <w:rFonts w:ascii="Times New Roman" w:hAnsi="Times New Roman" w:cs="Times New Roman"/>
                <w:color w:val="000000"/>
              </w:rPr>
              <w:t>either a loss of control or a corresponding shift to another shareholder group, the Court concluded that the dilution did not give rise to a direct injury</w:t>
            </w:r>
            <w:r>
              <w:rPr>
                <w:rFonts w:ascii="Times New Roman" w:hAnsi="Times New Roman" w:cs="Times New Roman"/>
                <w:color w:val="000000"/>
              </w:rPr>
              <w:t xml:space="preserve">. </w:t>
            </w:r>
            <w:r w:rsidRPr="0094571C">
              <w:rPr>
                <w:rFonts w:ascii="Times New Roman" w:hAnsi="Times New Roman" w:cs="Times New Roman"/>
              </w:rPr>
              <w:t xml:space="preserve">3d DCA affirmed. </w:t>
            </w:r>
          </w:p>
        </w:tc>
        <w:tc>
          <w:tcPr>
            <w:tcW w:w="1800" w:type="dxa"/>
          </w:tcPr>
          <w:p w14:paraId="0C16408A" w14:textId="4A574281" w:rsidR="0094571C" w:rsidRPr="007670E4" w:rsidRDefault="007670E4" w:rsidP="007670E4">
            <w:pPr>
              <w:rPr>
                <w:rFonts w:ascii="Times New Roman" w:hAnsi="Times New Roman" w:cs="Times New Roman"/>
              </w:rPr>
            </w:pPr>
            <w:r w:rsidRPr="0094571C">
              <w:rPr>
                <w:rFonts w:ascii="Times New Roman" w:hAnsi="Times New Roman" w:cs="Times New Roman"/>
                <w:b/>
                <w:bCs/>
              </w:rPr>
              <w:t>Fla. Stat. § 607.0750</w:t>
            </w:r>
            <w:r>
              <w:rPr>
                <w:rFonts w:ascii="Times New Roman" w:hAnsi="Times New Roman" w:cs="Times New Roman"/>
                <w:b/>
                <w:bCs/>
              </w:rPr>
              <w:t xml:space="preserve"> </w:t>
            </w:r>
            <w:r>
              <w:rPr>
                <w:rFonts w:ascii="Times New Roman" w:hAnsi="Times New Roman" w:cs="Times New Roman"/>
              </w:rPr>
              <w:t>cited but court goes on to analyze whether there was a special injury.</w:t>
            </w:r>
          </w:p>
        </w:tc>
      </w:tr>
    </w:tbl>
    <w:p w14:paraId="3B20A2D8" w14:textId="77777777" w:rsidR="001C3A8C" w:rsidRPr="0094571C" w:rsidRDefault="001C3A8C">
      <w:pPr>
        <w:rPr>
          <w:rFonts w:ascii="Times New Roman" w:hAnsi="Times New Roman" w:cs="Times New Roman"/>
        </w:rPr>
      </w:pPr>
    </w:p>
    <w:sectPr w:rsidR="001C3A8C" w:rsidRPr="0094571C" w:rsidSect="00AB0F72">
      <w:headerReference w:type="default" r:id="rId8"/>
      <w:headerReference w:type="first" r:id="rId9"/>
      <w:pgSz w:w="15840" w:h="12240" w:orient="landscape"/>
      <w:pgMar w:top="72" w:right="1440" w:bottom="7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FFA77" w14:textId="77777777" w:rsidR="006470E8" w:rsidRDefault="006470E8" w:rsidP="00AB0F72">
      <w:pPr>
        <w:spacing w:after="0" w:line="240" w:lineRule="auto"/>
      </w:pPr>
      <w:r>
        <w:separator/>
      </w:r>
    </w:p>
  </w:endnote>
  <w:endnote w:type="continuationSeparator" w:id="0">
    <w:p w14:paraId="6E4A4E96" w14:textId="77777777" w:rsidR="006470E8" w:rsidRDefault="006470E8" w:rsidP="00AB0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178630" w14:textId="77777777" w:rsidR="006470E8" w:rsidRDefault="006470E8" w:rsidP="00AB0F72">
      <w:pPr>
        <w:spacing w:after="0" w:line="240" w:lineRule="auto"/>
      </w:pPr>
      <w:r>
        <w:separator/>
      </w:r>
    </w:p>
  </w:footnote>
  <w:footnote w:type="continuationSeparator" w:id="0">
    <w:p w14:paraId="4B1A3977" w14:textId="77777777" w:rsidR="006470E8" w:rsidRDefault="006470E8" w:rsidP="00AB0F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AA081" w14:textId="55248B1C" w:rsidR="00AB0F72" w:rsidRPr="00AB0F72" w:rsidRDefault="00AB0F72" w:rsidP="00AB0F72">
    <w:pPr>
      <w:pStyle w:val="Header"/>
      <w:jc w:val="center"/>
      <w:rPr>
        <w:rFonts w:ascii="Times New Roman" w:hAnsi="Times New Roman" w:cs="Times New Roman"/>
        <w:b/>
        <w:bCs/>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CBCA0" w14:textId="54031A27" w:rsidR="00AB0F72" w:rsidRPr="00AB0F72" w:rsidRDefault="00AB0F72" w:rsidP="00AB0F72">
    <w:pPr>
      <w:pStyle w:val="Header"/>
      <w:rPr>
        <w:rFonts w:ascii="Times New Roman" w:hAnsi="Times New Roman" w:cs="Times New Roman"/>
        <w:b/>
        <w:bCs/>
        <w:sz w:val="24"/>
        <w:szCs w:val="24"/>
      </w:rPr>
    </w:pPr>
    <w:r w:rsidRPr="00AB0F72">
      <w:rPr>
        <w:rFonts w:ascii="Times New Roman" w:hAnsi="Times New Roman" w:cs="Times New Roman"/>
        <w:b/>
        <w:bCs/>
        <w:color w:val="1D1D1D"/>
        <w:sz w:val="24"/>
        <w:szCs w:val="24"/>
        <w:shd w:val="clear" w:color="auto" w:fill="FFFFFF"/>
      </w:rPr>
      <w:t>Determining Standing in Florida Entity Litigation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999336133">
    <w:abstractNumId w:val="8"/>
  </w:num>
  <w:num w:numId="2" w16cid:durableId="1785418349">
    <w:abstractNumId w:val="6"/>
  </w:num>
  <w:num w:numId="3" w16cid:durableId="538057204">
    <w:abstractNumId w:val="5"/>
  </w:num>
  <w:num w:numId="4" w16cid:durableId="2017657599">
    <w:abstractNumId w:val="4"/>
  </w:num>
  <w:num w:numId="5" w16cid:durableId="849105472">
    <w:abstractNumId w:val="7"/>
  </w:num>
  <w:num w:numId="6" w16cid:durableId="691415094">
    <w:abstractNumId w:val="3"/>
  </w:num>
  <w:num w:numId="7" w16cid:durableId="1787311273">
    <w:abstractNumId w:val="2"/>
  </w:num>
  <w:num w:numId="8" w16cid:durableId="1740515930">
    <w:abstractNumId w:val="1"/>
  </w:num>
  <w:num w:numId="9" w16cid:durableId="9460409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B7EC7"/>
    <w:rsid w:val="0015074B"/>
    <w:rsid w:val="0017052A"/>
    <w:rsid w:val="001C3A8C"/>
    <w:rsid w:val="001D0C88"/>
    <w:rsid w:val="00213181"/>
    <w:rsid w:val="0029639D"/>
    <w:rsid w:val="002C1012"/>
    <w:rsid w:val="002E7315"/>
    <w:rsid w:val="00326F90"/>
    <w:rsid w:val="004244D0"/>
    <w:rsid w:val="00561FC6"/>
    <w:rsid w:val="005A3096"/>
    <w:rsid w:val="005F47A9"/>
    <w:rsid w:val="006470E8"/>
    <w:rsid w:val="006D69A8"/>
    <w:rsid w:val="00701511"/>
    <w:rsid w:val="0073359E"/>
    <w:rsid w:val="007670E4"/>
    <w:rsid w:val="008A2AF1"/>
    <w:rsid w:val="008C2A29"/>
    <w:rsid w:val="0092296B"/>
    <w:rsid w:val="0094571C"/>
    <w:rsid w:val="009C4404"/>
    <w:rsid w:val="00AA1D8D"/>
    <w:rsid w:val="00AB0F72"/>
    <w:rsid w:val="00B069E7"/>
    <w:rsid w:val="00B47730"/>
    <w:rsid w:val="00BB3859"/>
    <w:rsid w:val="00BB58C8"/>
    <w:rsid w:val="00BE61D4"/>
    <w:rsid w:val="00BE6FCD"/>
    <w:rsid w:val="00CB0664"/>
    <w:rsid w:val="00D7622B"/>
    <w:rsid w:val="00E4536D"/>
    <w:rsid w:val="00E802A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09C9A7"/>
  <w14:defaultImageDpi w14:val="300"/>
  <w15:docId w15:val="{983EFDFA-2259-DD43-A8C4-6AA8B1491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71C"/>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apple-converted-space">
    <w:name w:val="apple-converted-space"/>
    <w:basedOn w:val="DefaultParagraphFont"/>
    <w:rsid w:val="0094571C"/>
  </w:style>
  <w:style w:type="character" w:styleId="Hyperlink">
    <w:name w:val="Hyperlink"/>
    <w:basedOn w:val="DefaultParagraphFont"/>
    <w:uiPriority w:val="99"/>
    <w:unhideWhenUsed/>
    <w:rsid w:val="0094571C"/>
    <w:rPr>
      <w:color w:val="0000FF" w:themeColor="hyperlink"/>
      <w:u w:val="single"/>
    </w:rPr>
  </w:style>
  <w:style w:type="character" w:styleId="UnresolvedMention">
    <w:name w:val="Unresolved Mention"/>
    <w:basedOn w:val="DefaultParagraphFont"/>
    <w:uiPriority w:val="99"/>
    <w:semiHidden/>
    <w:unhideWhenUsed/>
    <w:rsid w:val="009457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556985">
      <w:bodyDiv w:val="1"/>
      <w:marLeft w:val="0"/>
      <w:marRight w:val="0"/>
      <w:marTop w:val="0"/>
      <w:marBottom w:val="0"/>
      <w:divBdr>
        <w:top w:val="none" w:sz="0" w:space="0" w:color="auto"/>
        <w:left w:val="none" w:sz="0" w:space="0" w:color="auto"/>
        <w:bottom w:val="none" w:sz="0" w:space="0" w:color="auto"/>
        <w:right w:val="none" w:sz="0" w:space="0" w:color="auto"/>
      </w:divBdr>
    </w:div>
    <w:div w:id="3579709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customXml" Target="/customXML/item2.xml" Id="imanag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2.xml.rels>&#65279;<?xml version="1.0" encoding="utf-8"?><Relationships xmlns="http://schemas.openxmlformats.org/package/2006/relationships"><Relationship Type="http://schemas.openxmlformats.org/officeDocument/2006/relationships/customXmlProps" Target="/customXML/itemProps2.xml" Id="iManageProps" /></Relationships>
</file>

<file path=customXML/item2.xml><?xml version="1.0" encoding="utf-8"?>
<properties xmlns="http://www.imanage.com/work/xmlschema">
  <documentid>DMS!24454560.1</documentid>
  <senderid>ZWK1</senderid>
  <senderemail>ZKATZ@TRENAM.COM</senderemail>
  <lastmodified>2025-08-24T12:25:00.0000000-04:00</lastmodified>
  <database>DMS</database>
</properties>
</file>

<file path=customXML/itemProps2.xml><?xml version="1.0" encoding="utf-8"?>
<ds:datastoreItem xmlns:ds="http://schemas.openxmlformats.org/officeDocument/2006/customXml" ds:itemID="{6761FF8A-5859-4373-84A1-D4AE772E9E9D}">
  <ds:schemaRefs>
    <ds:schemaRef ds:uri="http://schemas.openxmlformats.org/officeDocument/2006/bibliography"/>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1492</Words>
  <Characters>8505</Characters>
  <Application>Microsoft Office Word</Application>
  <DocSecurity>4</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9978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Zane W. Katz</cp:lastModifiedBy>
  <cp:revision>2</cp:revision>
  <cp:lastPrinted>2025-08-16T17:50:00Z</cp:lastPrinted>
  <dcterms:created xsi:type="dcterms:W3CDTF">2025-08-24T16:25:00Z</dcterms:created>
  <dcterms:modified xsi:type="dcterms:W3CDTF">2025-08-24T16:25:00Z</dcterms:modified>
  <cp:category/>
</cp:coreProperties>
</file>